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</w:pPr>
      <w:r>
        <w:rPr>
          <w:rFonts w:ascii="Tahoma" w:cs="Tahoma" w:eastAsia="Tahoma" w:hAnsi="Tahoma"/>
          <w:b/>
          <w:bCs/>
          <w:color w:val="5C6560"/>
          <w:sz w:val="16"/>
          <w:szCs w:val="16"/>
        </w:rPr>
        <w:t xml:space="preserve">รายงานการวิเคราะห์การลงทุน · Investment Report</w:t>
      </w:r>
    </w:p>
    <w:p>
      <w:pPr>
        <w:spacing w:after="100"/>
      </w:pPr>
      <w:r>
        <w:rPr>
          <w:rFonts w:ascii="Tahoma" w:cs="Tahoma" w:eastAsia="Tahoma" w:hAnsi="Tahoma"/>
          <w:b/>
          <w:bCs/>
          <w:color w:val="1A1A1A"/>
          <w:sz w:val="40"/>
          <w:szCs w:val="40"/>
        </w:rPr>
        <w:t xml:space="preserve">CPALL — บริษัท ซีพี ออลล์ จำกัด (มหาชน)</w:t>
      </w:r>
    </w:p>
    <w:p>
      <w:pPr>
        <w:spacing w:after="200"/>
      </w:pPr>
      <w:r>
        <w:rPr>
          <w:rFonts w:ascii="Tahoma" w:cs="Tahoma" w:eastAsia="Tahoma" w:hAnsi="Tahoma"/>
          <w:color w:val="0E5C4A"/>
          <w:sz w:val="24"/>
          <w:szCs w:val="24"/>
        </w:rPr>
        <w:t xml:space="preserve">ธุรกิจดี งบซับซ้อน และการเติบโตที่กำลังชะลอ — มุมมองการลงทุนระยะ 3–5 ปี</w:t>
      </w:r>
    </w:p>
    <w:p>
      <w:pPr>
        <w:pBdr>
          <w:bottom w:val="single" w:color="0E5C4A" w:sz="6"/>
        </w:pBdr>
        <w:spacing w:after="160" w:before="60"/>
      </w:pPr>
    </w:p>
    <w:tbl>
      <w:tblPr>
        <w:tblW w:type="dxa" w:w="9360"/>
        <w:tblBorders>
          <w:top w:val="single" w:color="D5DAD5" w:sz="2"/>
          <w:left w:val="none"/>
          <w:bottom w:val="single" w:color="D5DAD5" w:sz="2"/>
          <w:right w:val="none"/>
          <w:insideH w:val="single" w:color="E4E8E3" w:sz="1"/>
          <w:insideV w:val="none"/>
        </w:tblBorders>
      </w:tblPr>
      <w:tblGrid>
        <w:gridCol w:w="2200"/>
        <w:gridCol w:w="7160"/>
      </w:tblGrid>
      <w:tr>
        <w:trPr>
          <w:tblHeader/>
        </w:trPr>
        <w:tc>
          <w:tcPr>
            <w:tcW w:type="dxa" w:w="220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หัวข้อ</w:t>
            </w:r>
          </w:p>
        </w:tc>
        <w:tc>
          <w:tcPr>
            <w:tcW w:type="dxa" w:w="716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รายละเอียด</w:t>
            </w:r>
          </w:p>
        </w:tc>
      </w:tr>
      <w:tr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7"/>
                <w:szCs w:val="17"/>
              </w:rPr>
              <w:t xml:space="preserve">หลักทรัพย์</w:t>
            </w:r>
          </w:p>
        </w:tc>
        <w:tc>
          <w:tcPr>
            <w:tcW w:type="dxa" w:w="71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7"/>
                <w:szCs w:val="17"/>
              </w:rPr>
              <w:t xml:space="preserve">SET : CPALL</w:t>
            </w:r>
          </w:p>
        </w:tc>
      </w:tr>
      <w:tr>
        <w:tc>
          <w:tcPr>
            <w:tcW w:type="dxa" w:w="22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7"/>
                <w:szCs w:val="17"/>
              </w:rPr>
              <w:t xml:space="preserve">งวดข้อมูลล่าสุด</w:t>
            </w:r>
          </w:p>
        </w:tc>
        <w:tc>
          <w:tcPr>
            <w:tcW w:type="dxa" w:w="716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7"/>
                <w:szCs w:val="17"/>
              </w:rPr>
              <w:t xml:space="preserve">ไตรมาส 2/2569 สิ้นสุด 30 มิถุนายน 2026</w:t>
            </w:r>
          </w:p>
        </w:tc>
      </w:tr>
      <w:tr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7"/>
                <w:szCs w:val="17"/>
              </w:rPr>
              <w:t xml:space="preserve">ราคาอ้างอิง</w:t>
            </w:r>
          </w:p>
        </w:tc>
        <w:tc>
          <w:tcPr>
            <w:tcW w:type="dxa" w:w="71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7"/>
                <w:szCs w:val="17"/>
              </w:rPr>
              <w:t xml:space="preserve">46.00 บาท (ตลาดหลักทรัพย์แห่งประเทศไทย, 3 กันยายน 2026)</w:t>
            </w:r>
          </w:p>
        </w:tc>
      </w:tr>
      <w:tr>
        <w:tc>
          <w:tcPr>
            <w:tcW w:type="dxa" w:w="22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7"/>
                <w:szCs w:val="17"/>
              </w:rPr>
              <w:t xml:space="preserve">วันที่จัดทำ</w:t>
            </w:r>
          </w:p>
        </w:tc>
        <w:tc>
          <w:tcPr>
            <w:tcW w:type="dxa" w:w="716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7"/>
                <w:szCs w:val="17"/>
              </w:rPr>
              <w:t xml:space="preserve">9 กันยายน 2569 (2026)</w:t>
            </w:r>
          </w:p>
        </w:tc>
      </w:tr>
      <w:tr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7"/>
                <w:szCs w:val="17"/>
              </w:rPr>
              <w:t xml:space="preserve">หน่วย</w:t>
            </w:r>
          </w:p>
        </w:tc>
        <w:tc>
          <w:tcPr>
            <w:tcW w:type="dxa" w:w="71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7"/>
                <w:szCs w:val="17"/>
              </w:rPr>
              <w:t xml:space="preserve">ล้านบาท เว้นแต่ระบุเป็นอย่างอื่น</w:t>
            </w:r>
          </w:p>
        </w:tc>
      </w:tr>
      <w:tr>
        <w:tc>
          <w:tcPr>
            <w:tcW w:type="dxa" w:w="22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7"/>
                <w:szCs w:val="17"/>
              </w:rPr>
              <w:t xml:space="preserve">ฐานงบ</w:t>
            </w:r>
          </w:p>
        </w:tc>
        <w:tc>
          <w:tcPr>
            <w:tcW w:type="dxa" w:w="716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7"/>
                <w:szCs w:val="17"/>
              </w:rPr>
              <w:t xml:space="preserve">งบรวม (Consolidated) · กำไรสุทธิเป็นส่วนที่เป็นของผู้ถือหุ้นบริษัทใหญ่</w:t>
            </w:r>
          </w:p>
        </w:tc>
      </w:tr>
      <w:tr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7"/>
                <w:szCs w:val="17"/>
              </w:rPr>
              <w:t xml:space="preserve">ไฟล์ประกอบ</w:t>
            </w:r>
          </w:p>
        </w:tc>
        <w:tc>
          <w:tcPr>
            <w:tcW w:type="dxa" w:w="71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7"/>
                <w:szCs w:val="17"/>
              </w:rPr>
              <w:t xml:space="preserve">CPALL_Financial_Model.xlsx · CPALL_Executive_Presentation.pptx</w:t>
            </w:r>
          </w:p>
        </w:tc>
      </w:tr>
    </w:tbl>
    <w:p>
      <w:pPr>
        <w:spacing w:after="200" w:before="60"/>
      </w:pPr>
      <w:r>
        <w:rPr>
          <w:rFonts w:ascii="Tahoma" w:cs="Tahoma" w:eastAsia="Tahoma" w:hAnsi="Tahoma"/>
          <w:i/>
          <w:iCs/>
          <w:color w:val="5C6560"/>
          <w:sz w:val="15"/>
          <w:szCs w:val="15"/>
        </w:rPr>
        <w:t xml:space="preserve">ตารางแหล่งข้อมูล (รหัส S1–S13) อยู่ท้ายรายงาน และใช้รหัสชุดเดียวกันกับไฟล์ Excel และสไลด์</w:t>
      </w:r>
    </w:p>
    <w:p>
      <w:pPr>
        <w:pBdr>
          <w:left w:val="single" w:color="8C2F22" w:sz="18"/>
        </w:pBdr>
        <w:shd w:fill="F6E5E2" w:color="auto" w:val="clear"/>
        <w:spacing w:after="160" w:before="160"/>
        <w:ind w:left="160"/>
      </w:pPr>
      <w:r>
        <w:rPr>
          <w:rFonts w:ascii="Tahoma" w:cs="Tahoma" w:eastAsia="Tahoma" w:hAnsi="Tahoma"/>
          <w:b/>
          <w:bCs/>
          <w:color w:val="8C2F22"/>
          <w:sz w:val="20"/>
          <w:szCs w:val="20"/>
        </w:rPr>
        <w:t xml:space="preserve">ไม่ใช่คำแนะนำการลงทุน — </w:t>
      </w:r>
      <w:r>
        <w:rPr>
          <w:rFonts w:ascii="Tahoma" w:cs="Tahoma" w:eastAsia="Tahoma" w:hAnsi="Tahoma"/>
          <w:color w:val="1A1A1A"/>
          <w:sz w:val="20"/>
          <w:szCs w:val="20"/>
        </w:rPr>
        <w:t xml:space="preserve">ผมไม่ใช่ที่ปรึกษาการลงทุนที่ได้รับใบอนุญาต รายงานนี้เป็นการวิเคราะห์จากข้อมูลสาธารณะเพื่อประกอบการตัดสินใจของผู้อ่านเอง ตัวเลขงบกำไรขาดทุนและตัวชี้วัดปฏิบัติการมาจากเอกสารทางการของบริษัท ส่วนตัวเลขกระแสเงินสดมาจากผู้รวบรวมบุคคลที่สามและยังไม่ได้กระทบยอดกับงบการเงินที่ผู้สอบบัญชีรับรอง เพราะไฟล์งบฉบับลงนามเป็น PDF สแกน</w:t>
      </w:r>
    </w:p>
    <w:p>
      <w:pPr>
        <w:pStyle w:val="Heading1"/>
        <w:spacing w:after="140" w:before="280"/>
      </w:pPr>
      <w:r>
        <w:rPr>
          <w:rFonts w:ascii="Tahoma" w:cs="Tahoma" w:eastAsia="Tahoma" w:hAnsi="Tahoma"/>
          <w:b/>
          <w:bCs/>
          <w:color w:val="0E5C4A"/>
          <w:sz w:val="28"/>
          <w:szCs w:val="28"/>
        </w:rPr>
        <w:t xml:space="preserve">1. บทสรุปผู้บริหารและมุมมองการลงทุน</w:t>
      </w:r>
    </w:p>
    <w:p>
      <w:pPr>
        <w:spacing w:after="120" w:before="0" w:line="300"/>
      </w:pPr>
      <w:r>
        <w:rPr>
          <w:rFonts w:ascii="Tahoma" w:cs="Tahoma" w:eastAsia="Tahoma" w:hAnsi="Tahoma"/>
          <w:color w:val="1A1A1A"/>
          <w:sz w:val="20"/>
          <w:szCs w:val="20"/>
        </w:rPr>
        <w:t xml:space="preserve">CPALL คือธุรกิจร้านสะดวกซื้อชั้นดีที่ห่อหุ้มอยู่ในโครงสร้างการถือหุ้นที่ซับซ้อน คำถามของการลงทุนระยะ 3–5 ปี จึงไม่ใช่ </w:t>
      </w:r>
      <w:r>
        <w:rPr>
          <w:rFonts w:ascii="Tahoma" w:cs="Tahoma" w:eastAsia="Tahoma" w:hAnsi="Tahoma"/>
          <w:b/>
          <w:bCs/>
          <w:color w:val="1A1A1A"/>
          <w:sz w:val="20"/>
          <w:szCs w:val="20"/>
        </w:rPr>
        <w:t xml:space="preserve">“7-Eleven ดีไหม”</w:t>
      </w:r>
      <w:r>
        <w:rPr>
          <w:rFonts w:ascii="Tahoma" w:cs="Tahoma" w:eastAsia="Tahoma" w:hAnsi="Tahoma"/>
          <w:color w:val="1A1A1A"/>
          <w:sz w:val="20"/>
          <w:szCs w:val="20"/>
        </w:rPr>
        <w:t xml:space="preserve"> — มันดี — แต่คือ </w:t>
      </w:r>
      <w:r>
        <w:rPr>
          <w:rFonts w:ascii="Tahoma" w:cs="Tahoma" w:eastAsia="Tahoma" w:hAnsi="Tahoma"/>
          <w:b/>
          <w:bCs/>
          <w:color w:val="1A1A1A"/>
          <w:sz w:val="20"/>
          <w:szCs w:val="20"/>
        </w:rPr>
        <w:t xml:space="preserve">“ต้องจ่ายแพงแค่ไหนเพื่อได้มัน และต้องแบกอะไรพ่วงมาบ้าง”</w:t>
      </w:r>
    </w:p>
    <w:tbl>
      <w:tblPr>
        <w:tblW w:type="dxa" w:w="9360"/>
        <w:tblBorders>
          <w:top w:val="single" w:color="D5DAD5" w:sz="2"/>
          <w:left w:val="none"/>
          <w:bottom w:val="single" w:color="D5DAD5" w:sz="2"/>
          <w:right w:val="none"/>
          <w:insideH w:val="single" w:color="E4E8E3" w:sz="1"/>
          <w:insideV w:val="none"/>
        </w:tblBorders>
      </w:tblPr>
      <w:tblGrid>
        <w:gridCol w:w="1900"/>
        <w:gridCol w:w="7460"/>
      </w:tblGrid>
      <w:tr>
        <w:trPr>
          <w:tblHeader/>
        </w:trPr>
        <w:tc>
          <w:tcPr>
            <w:tcW w:type="dxa" w:w="190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ประเด็น</w:t>
            </w:r>
          </w:p>
        </w:tc>
        <w:tc>
          <w:tcPr>
            <w:tcW w:type="dxa" w:w="746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สาระสำคัญ</w:t>
            </w:r>
          </w:p>
        </w:tc>
      </w:tr>
      <w:tr>
        <w:tc>
          <w:tcPr>
            <w:tcW w:type="dxa" w:w="19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7"/>
                <w:szCs w:val="17"/>
              </w:rPr>
              <w:t xml:space="preserve">สิ่งที่กำลังซื้อ</w:t>
            </w:r>
          </w:p>
        </w:tc>
        <w:tc>
          <w:tcPr>
            <w:tcW w:type="dxa" w:w="74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7"/>
                <w:szCs w:val="17"/>
              </w:rPr>
              <w:t xml:space="preserve">ธุรกิจ 7-Eleven อัตรากำไรขั้นต้น 29.3% เครือข่าย 16,284 สาขาในไทย และโมเดลที่ซัพพลายเออร์เป็นผู้ออกเงินทุนหมุนเวียนให้ (S1)</w:t>
            </w:r>
          </w:p>
        </w:tc>
      </w:tr>
      <w:tr>
        <w:tc>
          <w:tcPr>
            <w:tcW w:type="dxa" w:w="19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7"/>
                <w:szCs w:val="17"/>
              </w:rPr>
              <w:t xml:space="preserve">สิ่งที่พ่วงมา</w:t>
            </w:r>
          </w:p>
        </w:tc>
        <w:tc>
          <w:tcPr>
            <w:tcW w:type="dxa" w:w="746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7"/>
                <w:szCs w:val="17"/>
              </w:rPr>
              <w:t xml:space="preserve">CP AXTRA ที่กำไรสุทธิลดลง 13.7% ในปี 2568 และหนี้มีภาระดอกเบี้ยราว 320,000 ล้านบาทที่แทบไม่ลดลงมาสามปี (S1, S7, S8)</w:t>
            </w:r>
          </w:p>
        </w:tc>
      </w:tr>
      <w:tr>
        <w:tc>
          <w:tcPr>
            <w:tcW w:type="dxa" w:w="19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7"/>
                <w:szCs w:val="17"/>
              </w:rPr>
              <w:t xml:space="preserve">ราคาที่ตลาดให้</w:t>
            </w:r>
          </w:p>
        </w:tc>
        <w:tc>
          <w:tcPr>
            <w:tcW w:type="dxa" w:w="74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7"/>
                <w:szCs w:val="17"/>
              </w:rPr>
              <w:t xml:space="preserve">P/E ประมาณ 13.7 เท่าจากกำไร 12 เดือนล่าสุด · ปันผล 3.59% · นักวิเคราะห์ 20 รายให้เป้าเฉลี่ย 61.38 บาท ซื้อ 19 ถือ 1 (S9, S10)</w:t>
            </w:r>
          </w:p>
        </w:tc>
      </w:tr>
      <w:tr>
        <w:tc>
          <w:tcPr>
            <w:tcW w:type="dxa" w:w="19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7"/>
                <w:szCs w:val="17"/>
              </w:rPr>
              <w:t xml:space="preserve">ข้อสรุปเชิงเงื่อนไข</w:t>
            </w:r>
          </w:p>
        </w:tc>
        <w:tc>
          <w:tcPr>
            <w:tcW w:type="dxa" w:w="746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7"/>
                <w:szCs w:val="17"/>
              </w:rPr>
              <w:t xml:space="preserve">ที่ P/E 13.7 เท่า ราคานี้ไม่แพงถ้ากำไรโตได้ 8–10% ต่อปี แต่ไม่ถูกถ้าโตเพียง 4–6% ตามกรณีฐาน ทุกอย่างขึ้นกับว่า SSSG จะกลับมาหรือไม่</w:t>
            </w:r>
          </w:p>
        </w:tc>
      </w:tr>
    </w:tbl>
    <w:p>
      <w:pPr>
        <w:spacing w:after="200" w:before="60"/>
      </w:pPr>
      <w:r>
        <w:rPr>
          <w:rFonts w:ascii="Tahoma" w:cs="Tahoma" w:eastAsia="Tahoma" w:hAnsi="Tahoma"/>
          <w:i/>
          <w:iCs/>
          <w:color w:val="5C6560"/>
          <w:sz w:val="15"/>
          <w:szCs w:val="15"/>
        </w:rPr>
        <w:t xml:space="preserve">P/E คำนวณจาก EPS 12 เดือนล่าสุด 3.35 บาท ซึ่งได้จาก EPS ปี 2568 (3.10) หัก EPS ไตรมาส 1 และ 2 ปี 2568 แล้วบวก EPS ไตรมาส 1 และ 2 ปี 2569 — ดูสูตรในชีต 02_อัตราส่วน</w:t>
      </w:r>
    </w:p>
    <w:p>
      <w:pPr>
        <w:spacing w:after="120" w:before="0" w:line="300"/>
      </w:pPr>
      <w:r>
        <w:rPr>
          <w:rFonts w:ascii="Tahoma" w:cs="Tahoma" w:eastAsia="Tahoma" w:hAnsi="Tahoma"/>
          <w:color w:val="1A1A1A"/>
          <w:sz w:val="20"/>
          <w:szCs w:val="20"/>
        </w:rPr>
        <w:t xml:space="preserve">สิ่งที่ทำให้กำไรโต 37–39% ต่อปีในปี 2566–2567 คือช่วงการฟื้นตัวหลังโควิด ซึ่งเป็นเหตุการณ์ที่เกิดครั้งเดียวและจบไปแล้ว การคาดหวังว่าอัตรานั้นจะกลับมาในกรอบ 3–5 ปี ยังไม่มีหลักฐานรองรับจากงบล่าสุด และความเห็นนักวิเคราะห์ที่เอียงข้างเดียว 19 ต่อ 1 ไม่ควรอ่านเป็นการยืนยันพื้นฐาน — เมื่อทุกคนอยู่ข้างเดียวกัน ผลตอบแทนส่วนเกินย่อมน้อยลง และความเสี่ยงจากการปรับประมาณการพร้อมกันย่อมสูงขึ้น</w:t>
      </w:r>
    </w:p>
    <w:p>
      <w:pPr>
        <w:pStyle w:val="Heading1"/>
        <w:spacing w:after="140" w:before="280"/>
      </w:pPr>
      <w:r>
        <w:rPr>
          <w:rFonts w:ascii="Tahoma" w:cs="Tahoma" w:eastAsia="Tahoma" w:hAnsi="Tahoma"/>
          <w:b/>
          <w:bCs/>
          <w:color w:val="0E5C4A"/>
          <w:sz w:val="28"/>
          <w:szCs w:val="28"/>
        </w:rPr>
        <w:t xml:space="preserve">2. ฐานงบสามชุดที่ห้ามสลับกัน</w:t>
      </w:r>
    </w:p>
    <w:p>
      <w:pPr>
        <w:spacing w:after="120" w:before="0" w:line="300"/>
      </w:pPr>
      <w:r>
        <w:rPr>
          <w:rFonts w:ascii="Tahoma" w:cs="Tahoma" w:eastAsia="Tahoma" w:hAnsi="Tahoma"/>
          <w:color w:val="1A1A1A"/>
          <w:sz w:val="20"/>
          <w:szCs w:val="20"/>
        </w:rPr>
        <w:t xml:space="preserve">CPALL ถือหุ้น CP AXTRA (Makro และ Lotus's) ร้อยละ 59.93 และนำมารวมงบแบบเต็มจำนวน ตามที่ระบุในแบบ 56-1 One Report ปี 2568 หัวข้อ 1.3.1 หน้า 28 (S6) ผลคือ: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Tahoma" w:cs="Tahoma" w:eastAsia="Tahoma" w:hAnsi="Tahoma"/>
          <w:b/>
          <w:bCs/>
          <w:color w:val="1A1A1A"/>
          <w:sz w:val="20"/>
          <w:szCs w:val="20"/>
        </w:rPr>
        <w:t xml:space="preserve">งบรวม (Consolidated) </w:t>
      </w:r>
      <w:r>
        <w:rPr>
          <w:rFonts w:ascii="Tahoma" w:cs="Tahoma" w:eastAsia="Tahoma" w:hAnsi="Tahoma"/>
          <w:color w:val="1A1A1A"/>
          <w:sz w:val="20"/>
          <w:szCs w:val="20"/>
        </w:rPr>
        <w:t xml:space="preserve">บันทึกรายได้และสินทรัพย์ของ CP AXTRA ทั้งจำนวน แล้วหักส่วนที่ไม่ใช่ของ CPALL ออกเป็นส่วนได้เสียที่ไม่มีอำนาจควบคุม รายได้ระดับล้านล้านบาทจึงไม่ใช่รายได้ที่ผู้ถือหุ้น CPALL เป็นเจ้าของทั้งหมด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Tahoma" w:cs="Tahoma" w:eastAsia="Tahoma" w:hAnsi="Tahoma"/>
          <w:b/>
          <w:bCs/>
          <w:color w:val="1A1A1A"/>
          <w:sz w:val="20"/>
          <w:szCs w:val="20"/>
        </w:rPr>
        <w:t xml:space="preserve">กำไรสุทธิส่วนที่เป็นของบริษัทใหญ่ </w:t>
      </w:r>
      <w:r>
        <w:rPr>
          <w:rFonts w:ascii="Tahoma" w:cs="Tahoma" w:eastAsia="Tahoma" w:hAnsi="Tahoma"/>
          <w:color w:val="1A1A1A"/>
          <w:sz w:val="20"/>
          <w:szCs w:val="20"/>
        </w:rPr>
        <w:t xml:space="preserve">คือตัวเลขเดียวที่ใช้ประเมินมูลค่าได้ และเป็นตัวตั้งของ EPS ทุกตัวในชุดงานนี้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Tahoma" w:cs="Tahoma" w:eastAsia="Tahoma" w:hAnsi="Tahoma"/>
          <w:b/>
          <w:bCs/>
          <w:color w:val="1A1A1A"/>
          <w:sz w:val="20"/>
          <w:szCs w:val="20"/>
        </w:rPr>
        <w:t xml:space="preserve">งบเฉพาะกิจการ (Separate) </w:t>
      </w:r>
      <w:r>
        <w:rPr>
          <w:rFonts w:ascii="Tahoma" w:cs="Tahoma" w:eastAsia="Tahoma" w:hAnsi="Tahoma"/>
          <w:color w:val="1A1A1A"/>
          <w:sz w:val="20"/>
          <w:szCs w:val="20"/>
        </w:rPr>
        <w:t xml:space="preserve">บันทึกเงินลงทุนที่ราคาทุนและรับรู้รายได้เป็นเงินปันผลรับ ทำให้กำไรรายไตรมาสกระโดดตามรอบการจ่ายปันผล — ไตรมาส 2/2569 EPS งบเฉพาะกิจการอยู่ที่ 1.15 บาท สูงกว่างบรวมที่ 0.83 บาท เพราะเอกสารระบุเองว่ามีการรับรู้เงินปันผลจากบริษัทย่อย 5,398 ล้านบาทในงวดนั้น (S1 หน้า 3) หักออกแล้วจะเหลือ 4,994 ล้านบาท ต่ำกว่ากำไรงบรวม 7,512 ล้านบาท</w:t>
      </w:r>
    </w:p>
    <w:p>
      <w:pPr>
        <w:spacing w:after="200" w:before="60"/>
      </w:pPr>
      <w:r>
        <w:rPr>
          <w:rFonts w:ascii="Tahoma" w:cs="Tahoma" w:eastAsia="Tahoma" w:hAnsi="Tahoma"/>
          <w:i/>
          <w:iCs/>
          <w:color w:val="8A5A0C"/>
          <w:sz w:val="15"/>
          <w:szCs w:val="15"/>
        </w:rPr>
        <w:t xml:space="preserve">ข้อควรระวังในทางปฏิบัติ: อย่านำ EPS งบเฉพาะกิจการของไตรมาสใดไตรมาสหนึ่งไปคูณสี่ จะประเมินกำไรสูงเกินจริงอย่างมีนัยสำคัญ</w:t>
      </w:r>
    </w:p>
    <w:p>
      <w:r>
        <w:br w:type="page"/>
      </w:r>
    </w:p>
    <w:p>
      <w:pPr>
        <w:pStyle w:val="Heading1"/>
        <w:spacing w:after="140" w:before="280"/>
      </w:pPr>
      <w:r>
        <w:rPr>
          <w:rFonts w:ascii="Tahoma" w:cs="Tahoma" w:eastAsia="Tahoma" w:hAnsi="Tahoma"/>
          <w:b/>
          <w:bCs/>
          <w:color w:val="0E5C4A"/>
          <w:sz w:val="28"/>
          <w:szCs w:val="28"/>
        </w:rPr>
        <w:t xml:space="preserve">3. ผลประกอบการ</w:t>
      </w:r>
    </w:p>
    <w:p>
      <w:pPr>
        <w:pStyle w:val="Heading2"/>
        <w:spacing w:after="140" w:before="280"/>
      </w:pPr>
      <w:r>
        <w:rPr>
          <w:rFonts w:ascii="Tahoma" w:cs="Tahoma" w:eastAsia="Tahoma" w:hAnsi="Tahoma"/>
          <w:b/>
          <w:bCs/>
          <w:color w:val="1A1A1A"/>
          <w:sz w:val="24"/>
          <w:szCs w:val="24"/>
        </w:rPr>
        <w:t xml:space="preserve">3.1 ตัวเลขจริงย้อนหลังและงวดล่าสุด</w:t>
      </w:r>
    </w:p>
    <w:tbl>
      <w:tblPr>
        <w:tblW w:type="dxa" w:w="9360"/>
        <w:tblBorders>
          <w:top w:val="single" w:color="D5DAD5" w:sz="2"/>
          <w:left w:val="none"/>
          <w:bottom w:val="single" w:color="D5DAD5" w:sz="2"/>
          <w:right w:val="none"/>
          <w:insideH w:val="single" w:color="E4E8E3" w:sz="1"/>
          <w:insideV w:val="none"/>
        </w:tblBorders>
      </w:tblPr>
      <w:tblGrid>
        <w:gridCol w:w="2760"/>
        <w:gridCol w:w="1320"/>
        <w:gridCol w:w="1320"/>
        <w:gridCol w:w="1320"/>
        <w:gridCol w:w="1320"/>
        <w:gridCol w:w="1320"/>
      </w:tblGrid>
      <w:tr>
        <w:trPr>
          <w:tblHeader/>
        </w:trPr>
        <w:tc>
          <w:tcPr>
            <w:tcW w:type="dxa" w:w="276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รายการ (ล้านบาท)</w:t>
            </w:r>
          </w:p>
        </w:tc>
        <w:tc>
          <w:tcPr>
            <w:tcW w:type="dxa" w:w="132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FY2022</w:t>
            </w:r>
          </w:p>
        </w:tc>
        <w:tc>
          <w:tcPr>
            <w:tcW w:type="dxa" w:w="132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FY2023</w:t>
            </w:r>
          </w:p>
        </w:tc>
        <w:tc>
          <w:tcPr>
            <w:tcW w:type="dxa" w:w="132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FY2024</w:t>
            </w:r>
          </w:p>
        </w:tc>
        <w:tc>
          <w:tcPr>
            <w:tcW w:type="dxa" w:w="132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FY2025</w:t>
            </w:r>
          </w:p>
        </w:tc>
        <w:tc>
          <w:tcPr>
            <w:tcW w:type="dxa" w:w="132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2Q26</w:t>
            </w:r>
          </w:p>
        </w:tc>
      </w:tr>
      <w:tr>
        <w:tc>
          <w:tcPr>
            <w:tcW w:type="dxa" w:w="27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6"/>
                <w:szCs w:val="16"/>
              </w:rPr>
              <w:t xml:space="preserve">รายได้รวม</w:t>
            </w:r>
          </w:p>
        </w:tc>
        <w:tc>
          <w:tcPr>
            <w:tcW w:type="dxa" w:w="132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852,766</w:t>
            </w:r>
          </w:p>
        </w:tc>
        <w:tc>
          <w:tcPr>
            <w:tcW w:type="dxa" w:w="132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921,187</w:t>
            </w:r>
          </w:p>
        </w:tc>
        <w:tc>
          <w:tcPr>
            <w:tcW w:type="dxa" w:w="132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987,794</w:t>
            </w:r>
          </w:p>
        </w:tc>
        <w:tc>
          <w:tcPr>
            <w:tcW w:type="dxa" w:w="132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1,022,143</w:t>
            </w:r>
          </w:p>
        </w:tc>
        <w:tc>
          <w:tcPr>
            <w:tcW w:type="dxa" w:w="132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265,760</w:t>
            </w:r>
          </w:p>
        </w:tc>
      </w:tr>
      <w:tr>
        <w:tc>
          <w:tcPr>
            <w:tcW w:type="dxa" w:w="276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6"/>
                <w:szCs w:val="16"/>
              </w:rPr>
              <w:t xml:space="preserve">เติบโต YoY</w:t>
            </w:r>
          </w:p>
        </w:tc>
        <w:tc>
          <w:tcPr>
            <w:tcW w:type="dxa" w:w="132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—</w:t>
            </w:r>
          </w:p>
        </w:tc>
        <w:tc>
          <w:tcPr>
            <w:tcW w:type="dxa" w:w="132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+8.0%</w:t>
            </w:r>
          </w:p>
        </w:tc>
        <w:tc>
          <w:tcPr>
            <w:tcW w:type="dxa" w:w="132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+7.2%</w:t>
            </w:r>
          </w:p>
        </w:tc>
        <w:tc>
          <w:tcPr>
            <w:tcW w:type="dxa" w:w="132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+3.5%</w:t>
            </w:r>
          </w:p>
        </w:tc>
        <w:tc>
          <w:tcPr>
            <w:tcW w:type="dxa" w:w="132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+3.6%</w:t>
            </w:r>
          </w:p>
        </w:tc>
      </w:tr>
      <w:tr>
        <w:tc>
          <w:tcPr>
            <w:tcW w:type="dxa" w:w="27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6"/>
                <w:szCs w:val="16"/>
              </w:rPr>
              <w:t xml:space="preserve">กำไรขั้นต้น</w:t>
            </w:r>
          </w:p>
        </w:tc>
        <w:tc>
          <w:tcPr>
            <w:tcW w:type="dxa" w:w="132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177,841</w:t>
            </w:r>
          </w:p>
        </w:tc>
        <w:tc>
          <w:tcPr>
            <w:tcW w:type="dxa" w:w="132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196,271</w:t>
            </w:r>
          </w:p>
        </w:tc>
        <w:tc>
          <w:tcPr>
            <w:tcW w:type="dxa" w:w="132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216,507</w:t>
            </w:r>
          </w:p>
        </w:tc>
        <w:tc>
          <w:tcPr>
            <w:tcW w:type="dxa" w:w="132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225,117</w:t>
            </w:r>
          </w:p>
        </w:tc>
        <w:tc>
          <w:tcPr>
            <w:tcW w:type="dxa" w:w="132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58,669</w:t>
            </w:r>
          </w:p>
        </w:tc>
      </w:tr>
      <w:tr>
        <w:tc>
          <w:tcPr>
            <w:tcW w:type="dxa" w:w="276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6"/>
                <w:szCs w:val="16"/>
              </w:rPr>
              <w:t xml:space="preserve">อัตรากำไรขั้นต้น (บริษัทรายงาน)</w:t>
            </w:r>
          </w:p>
        </w:tc>
        <w:tc>
          <w:tcPr>
            <w:tcW w:type="dxa" w:w="132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21.5%</w:t>
            </w:r>
          </w:p>
        </w:tc>
        <w:tc>
          <w:tcPr>
            <w:tcW w:type="dxa" w:w="132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21.9%</w:t>
            </w:r>
          </w:p>
        </w:tc>
        <w:tc>
          <w:tcPr>
            <w:tcW w:type="dxa" w:w="132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22.6%</w:t>
            </w:r>
          </w:p>
        </w:tc>
        <w:tc>
          <w:tcPr>
            <w:tcW w:type="dxa" w:w="132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22.7%</w:t>
            </w:r>
          </w:p>
        </w:tc>
        <w:tc>
          <w:tcPr>
            <w:tcW w:type="dxa" w:w="132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22.8%</w:t>
            </w:r>
          </w:p>
        </w:tc>
      </w:tr>
      <w:tr>
        <w:tc>
          <w:tcPr>
            <w:tcW w:type="dxa" w:w="27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6"/>
                <w:szCs w:val="16"/>
              </w:rPr>
              <w:t xml:space="preserve">กำไรสุทธิส่วนบริษัทใหญ่</w:t>
            </w:r>
          </w:p>
        </w:tc>
        <w:tc>
          <w:tcPr>
            <w:tcW w:type="dxa" w:w="132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13,256</w:t>
            </w:r>
          </w:p>
        </w:tc>
        <w:tc>
          <w:tcPr>
            <w:tcW w:type="dxa" w:w="132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18,482</w:t>
            </w:r>
          </w:p>
        </w:tc>
        <w:tc>
          <w:tcPr>
            <w:tcW w:type="dxa" w:w="132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25,346</w:t>
            </w:r>
          </w:p>
        </w:tc>
        <w:tc>
          <w:tcPr>
            <w:tcW w:type="dxa" w:w="132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28,206</w:t>
            </w:r>
          </w:p>
        </w:tc>
        <w:tc>
          <w:tcPr>
            <w:tcW w:type="dxa" w:w="132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7,512</w:t>
            </w:r>
          </w:p>
        </w:tc>
      </w:tr>
      <w:tr>
        <w:tc>
          <w:tcPr>
            <w:tcW w:type="dxa" w:w="276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6"/>
                <w:szCs w:val="16"/>
              </w:rPr>
              <w:t xml:space="preserve">เติบโต YoY</w:t>
            </w:r>
          </w:p>
        </w:tc>
        <w:tc>
          <w:tcPr>
            <w:tcW w:type="dxa" w:w="132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—</w:t>
            </w:r>
          </w:p>
        </w:tc>
        <w:tc>
          <w:tcPr>
            <w:tcW w:type="dxa" w:w="132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+39.4%</w:t>
            </w:r>
          </w:p>
        </w:tc>
        <w:tc>
          <w:tcPr>
            <w:tcW w:type="dxa" w:w="132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+37.1%</w:t>
            </w:r>
          </w:p>
        </w:tc>
        <w:tc>
          <w:tcPr>
            <w:tcW w:type="dxa" w:w="132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+11.3%</w:t>
            </w:r>
          </w:p>
        </w:tc>
        <w:tc>
          <w:tcPr>
            <w:tcW w:type="dxa" w:w="132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+11.0%</w:t>
            </w:r>
          </w:p>
        </w:tc>
      </w:tr>
      <w:tr>
        <w:tc>
          <w:tcPr>
            <w:tcW w:type="dxa" w:w="27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6"/>
                <w:szCs w:val="16"/>
              </w:rPr>
              <w:t xml:space="preserve">อัตรากำไรสุทธิ</w:t>
            </w:r>
          </w:p>
        </w:tc>
        <w:tc>
          <w:tcPr>
            <w:tcW w:type="dxa" w:w="132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1.55%</w:t>
            </w:r>
          </w:p>
        </w:tc>
        <w:tc>
          <w:tcPr>
            <w:tcW w:type="dxa" w:w="132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2.01%</w:t>
            </w:r>
          </w:p>
        </w:tc>
        <w:tc>
          <w:tcPr>
            <w:tcW w:type="dxa" w:w="132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2.57%</w:t>
            </w:r>
          </w:p>
        </w:tc>
        <w:tc>
          <w:tcPr>
            <w:tcW w:type="dxa" w:w="132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2.76%</w:t>
            </w:r>
          </w:p>
        </w:tc>
        <w:tc>
          <w:tcPr>
            <w:tcW w:type="dxa" w:w="132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2.83%</w:t>
            </w:r>
          </w:p>
        </w:tc>
      </w:tr>
      <w:tr>
        <w:tc>
          <w:tcPr>
            <w:tcW w:type="dxa" w:w="276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6"/>
                <w:szCs w:val="16"/>
              </w:rPr>
              <w:t xml:space="preserve">EPS งบรวม (บาท)</w:t>
            </w:r>
          </w:p>
        </w:tc>
        <w:tc>
          <w:tcPr>
            <w:tcW w:type="dxa" w:w="132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≈1.44</w:t>
            </w:r>
          </w:p>
        </w:tc>
        <w:tc>
          <w:tcPr>
            <w:tcW w:type="dxa" w:w="132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2.01</w:t>
            </w:r>
          </w:p>
        </w:tc>
        <w:tc>
          <w:tcPr>
            <w:tcW w:type="dxa" w:w="132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2.77</w:t>
            </w:r>
          </w:p>
        </w:tc>
        <w:tc>
          <w:tcPr>
            <w:tcW w:type="dxa" w:w="132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3.10</w:t>
            </w:r>
          </w:p>
        </w:tc>
        <w:tc>
          <w:tcPr>
            <w:tcW w:type="dxa" w:w="132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0.83</w:t>
            </w:r>
          </w:p>
        </w:tc>
      </w:tr>
      <w:tr>
        <w:tc>
          <w:tcPr>
            <w:tcW w:type="dxa" w:w="27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6"/>
                <w:szCs w:val="16"/>
              </w:rPr>
              <w:t xml:space="preserve">SSSG ร้านสะดวกซื้อ</w:t>
            </w:r>
          </w:p>
        </w:tc>
        <w:tc>
          <w:tcPr>
            <w:tcW w:type="dxa" w:w="132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—</w:t>
            </w:r>
          </w:p>
        </w:tc>
        <w:tc>
          <w:tcPr>
            <w:tcW w:type="dxa" w:w="132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5.5%</w:t>
            </w:r>
          </w:p>
        </w:tc>
        <w:tc>
          <w:tcPr>
            <w:tcW w:type="dxa" w:w="132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3.8%</w:t>
            </w:r>
          </w:p>
        </w:tc>
        <w:tc>
          <w:tcPr>
            <w:tcW w:type="dxa" w:w="132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n/d</w:t>
            </w:r>
          </w:p>
        </w:tc>
        <w:tc>
          <w:tcPr>
            <w:tcW w:type="dxa" w:w="132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0.8%</w:t>
            </w:r>
          </w:p>
        </w:tc>
      </w:tr>
      <w:tr>
        <w:tc>
          <w:tcPr>
            <w:tcW w:type="dxa" w:w="276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6"/>
                <w:szCs w:val="16"/>
              </w:rPr>
              <w:t xml:space="preserve">สาขา 7-Eleven ในไทย</w:t>
            </w:r>
          </w:p>
        </w:tc>
        <w:tc>
          <w:tcPr>
            <w:tcW w:type="dxa" w:w="132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13,838</w:t>
            </w:r>
          </w:p>
        </w:tc>
        <w:tc>
          <w:tcPr>
            <w:tcW w:type="dxa" w:w="132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14,545</w:t>
            </w:r>
          </w:p>
        </w:tc>
        <w:tc>
          <w:tcPr>
            <w:tcW w:type="dxa" w:w="132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15,245</w:t>
            </w:r>
          </w:p>
        </w:tc>
        <w:tc>
          <w:tcPr>
            <w:tcW w:type="dxa" w:w="132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15,945</w:t>
            </w:r>
          </w:p>
        </w:tc>
        <w:tc>
          <w:tcPr>
            <w:tcW w:type="dxa" w:w="132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16,284</w:t>
            </w:r>
          </w:p>
        </w:tc>
      </w:tr>
      <w:tr>
        <w:tc>
          <w:tcPr>
            <w:tcW w:type="dxa" w:w="27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6"/>
                <w:szCs w:val="16"/>
              </w:rPr>
              <w:t xml:space="preserve">ยอดขายต่อร้านต่อวัน (บาท)</w:t>
            </w:r>
          </w:p>
        </w:tc>
        <w:tc>
          <w:tcPr>
            <w:tcW w:type="dxa" w:w="132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—</w:t>
            </w:r>
          </w:p>
        </w:tc>
        <w:tc>
          <w:tcPr>
            <w:tcW w:type="dxa" w:w="132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80,837</w:t>
            </w:r>
          </w:p>
        </w:tc>
        <w:tc>
          <w:tcPr>
            <w:tcW w:type="dxa" w:w="132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83,906</w:t>
            </w:r>
          </w:p>
        </w:tc>
        <w:tc>
          <w:tcPr>
            <w:tcW w:type="dxa" w:w="132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83,777</w:t>
            </w:r>
          </w:p>
        </w:tc>
        <w:tc>
          <w:tcPr>
            <w:tcW w:type="dxa" w:w="132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85,843</w:t>
            </w:r>
          </w:p>
        </w:tc>
      </w:tr>
      <w:tr>
        <w:tc>
          <w:tcPr>
            <w:tcW w:type="dxa" w:w="276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6"/>
                <w:szCs w:val="16"/>
              </w:rPr>
              <w:t xml:space="preserve">หนี้มีภาระดอกเบี้ย (ไม่รวมลีส)</w:t>
            </w:r>
          </w:p>
        </w:tc>
        <w:tc>
          <w:tcPr>
            <w:tcW w:type="dxa" w:w="132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—</w:t>
            </w:r>
          </w:p>
        </w:tc>
        <w:tc>
          <w:tcPr>
            <w:tcW w:type="dxa" w:w="132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327,345</w:t>
            </w:r>
          </w:p>
        </w:tc>
        <w:tc>
          <w:tcPr>
            <w:tcW w:type="dxa" w:w="132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316,532</w:t>
            </w:r>
          </w:p>
        </w:tc>
        <w:tc>
          <w:tcPr>
            <w:tcW w:type="dxa" w:w="132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326,271</w:t>
            </w:r>
          </w:p>
        </w:tc>
        <w:tc>
          <w:tcPr>
            <w:tcW w:type="dxa" w:w="132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319,574</w:t>
            </w:r>
          </w:p>
        </w:tc>
      </w:tr>
    </w:tbl>
    <w:p>
      <w:pPr>
        <w:spacing w:after="200" w:before="60"/>
      </w:pPr>
      <w:r>
        <w:rPr>
          <w:rFonts w:ascii="Tahoma" w:cs="Tahoma" w:eastAsia="Tahoma" w:hAnsi="Tahoma"/>
          <w:i/>
          <w:iCs/>
          <w:color w:val="5C6560"/>
          <w:sz w:val="15"/>
          <w:szCs w:val="15"/>
        </w:rPr>
        <w:t xml:space="preserve">แหล่ง S5, S4, S3, S1 · อัตรากำไรขั้นต้นที่บริษัทรายงานหารด้วยรายได้จากการขายและบริการ ไม่ใช่รายได้รวม (ตรวจยืนยันแล้วในชีต 02) · SSSG ปี 2568 บริษัทไม่เปิดตัวเลข ระบุเพียงว่าอยู่ในระดับใกล้เคียงปีก่อน · รายได้ FY2023 ปรากฏเป็น 921,187 ในเอกสารปี 2566 และ 921,315 ในเอกสารปี 2567 ต่างกัน 128 ล้านบาทโดยไม่มีคำอธิบาย</w:t>
      </w:r>
    </w:p>
    <w:p>
      <w:pPr>
        <w:pStyle w:val="Heading2"/>
        <w:spacing w:after="140" w:before="280"/>
      </w:pPr>
      <w:r>
        <w:rPr>
          <w:rFonts w:ascii="Tahoma" w:cs="Tahoma" w:eastAsia="Tahoma" w:hAnsi="Tahoma"/>
          <w:b/>
          <w:bCs/>
          <w:color w:val="1A1A1A"/>
          <w:sz w:val="24"/>
          <w:szCs w:val="24"/>
        </w:rPr>
        <w:t xml:space="preserve">3.2 กำไรโตเร็วกว่ารายได้มาก แต่ระบุสาเหตุยังไม่ได้</w:t>
      </w:r>
    </w:p>
    <w:p>
      <w:pPr>
        <w:spacing w:after="120" w:before="0" w:line="300"/>
      </w:pPr>
      <w:r>
        <w:rPr>
          <w:rFonts w:ascii="Tahoma" w:cs="Tahoma" w:eastAsia="Tahoma" w:hAnsi="Tahoma"/>
          <w:color w:val="1A1A1A"/>
          <w:sz w:val="20"/>
          <w:szCs w:val="20"/>
        </w:rPr>
        <w:t xml:space="preserve">ระหว่างปี 2565 ถึง 2568 รายได้เติบโตเฉลี่ยทบต้นร้อยละ 6.2 ต่อปี ขณะที่กำไรสุทธิเติบโตเฉลี่ยร้อยละ 28.6 ต่อปี พร้อมกับอัตรากำไรขั้นต้นที่ขยับจาก 21.5% เป็น 22.7% และอัตรากำไรสุทธิจาก 1.55% เป็น 2.76%</w:t>
      </w:r>
    </w:p>
    <w:p>
      <w:pPr>
        <w:spacing w:after="120" w:before="0" w:line="300"/>
      </w:pPr>
      <w:r>
        <w:rPr>
          <w:rFonts w:ascii="Tahoma" w:cs="Tahoma" w:eastAsia="Tahoma" w:hAnsi="Tahoma"/>
          <w:b/>
          <w:bCs/>
          <w:color w:val="8A5A0C"/>
          <w:sz w:val="20"/>
          <w:szCs w:val="20"/>
        </w:rPr>
        <w:t xml:space="preserve">ข้อควรระวัง: </w:t>
      </w:r>
      <w:r>
        <w:rPr>
          <w:rFonts w:ascii="Tahoma" w:cs="Tahoma" w:eastAsia="Tahoma" w:hAnsi="Tahoma"/>
          <w:color w:val="1A1A1A"/>
          <w:sz w:val="20"/>
          <w:szCs w:val="20"/>
        </w:rPr>
        <w:t xml:space="preserve">ปี 2567 กำไรขั้นต้นโตเพียง 10.3% ขณะที่กำไรก่อนภาษีโต 35.7% แปลว่าส่วนใหญ่ของการเร่งตัวเกิดใต้บรรทัดกำไรขั้นต้น คือค่าใช้จ่ายในการขายและบริหาร ต้นทุนทางการเงิน ภาษี หรือรายการที่ไม่เกิดประจำ MD&amp;A ปี 2567 มีหัวข้อ Non-recurring Items and Other Income ซึ่งยังไม่ได้ถูกอ่านในการวิเคราะห์นี้ </w:t>
      </w:r>
      <w:r>
        <w:rPr>
          <w:rFonts w:ascii="Tahoma" w:cs="Tahoma" w:eastAsia="Tahoma" w:hAnsi="Tahoma"/>
          <w:b/>
          <w:bCs/>
          <w:color w:val="1A1A1A"/>
          <w:sz w:val="20"/>
          <w:szCs w:val="20"/>
        </w:rPr>
        <w:t xml:space="preserve">จึงยังไม่สามารถระบุได้ว่าอัตรากำไรขั้นต้นเป็นตัวขับเคลื่อนหลัก</w:t>
      </w:r>
    </w:p>
    <w:p>
      <w:pPr>
        <w:spacing w:after="120" w:before="0" w:line="300"/>
      </w:pPr>
      <w:r>
        <w:rPr>
          <w:rFonts w:ascii="Tahoma" w:cs="Tahoma" w:eastAsia="Tahoma" w:hAnsi="Tahoma"/>
          <w:color w:val="1A1A1A"/>
          <w:sz w:val="20"/>
          <w:szCs w:val="20"/>
        </w:rPr>
        <w:t xml:space="preserve">สิ่งที่ยืนยันได้คือช่องว่างระหว่างการเติบโตของกำไรกับรายได้แคบลงจาก 31.4 จุดในปี 2566 เหลือ 7.4 จุดในไตรมาส 2/2569 ตัวขับเคลื่อนที่เคยทำงานอยู่กำลังอ่อนแรง ไม่ว่ามันจะคือตัวใด</w:t>
      </w:r>
    </w:p>
    <w:p>
      <w:pPr>
        <w:pStyle w:val="Heading2"/>
        <w:spacing w:after="140" w:before="280"/>
      </w:pPr>
      <w:r>
        <w:rPr>
          <w:rFonts w:ascii="Tahoma" w:cs="Tahoma" w:eastAsia="Tahoma" w:hAnsi="Tahoma"/>
          <w:b/>
          <w:bCs/>
          <w:color w:val="1A1A1A"/>
          <w:sz w:val="24"/>
          <w:szCs w:val="24"/>
        </w:rPr>
        <w:t xml:space="preserve">3.3 กระแสเงินสดและหนี้</w:t>
      </w:r>
    </w:p>
    <w:tbl>
      <w:tblPr>
        <w:tblW w:type="dxa" w:w="9360"/>
        <w:tblBorders>
          <w:top w:val="single" w:color="D5DAD5" w:sz="2"/>
          <w:left w:val="none"/>
          <w:bottom w:val="single" w:color="D5DAD5" w:sz="2"/>
          <w:right w:val="none"/>
          <w:insideH w:val="single" w:color="E4E8E3" w:sz="1"/>
          <w:insideV w:val="none"/>
        </w:tblBorders>
      </w:tblPr>
      <w:tblGrid>
        <w:gridCol w:w="3160"/>
        <w:gridCol w:w="1550"/>
        <w:gridCol w:w="1550"/>
        <w:gridCol w:w="1550"/>
        <w:gridCol w:w="1550"/>
      </w:tblGrid>
      <w:tr>
        <w:trPr>
          <w:tblHeader/>
        </w:trPr>
        <w:tc>
          <w:tcPr>
            <w:tcW w:type="dxa" w:w="316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รายการ (ล้านบาท)</w:t>
            </w:r>
          </w:p>
        </w:tc>
        <w:tc>
          <w:tcPr>
            <w:tcW w:type="dxa" w:w="155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FY2022</w:t>
            </w:r>
          </w:p>
        </w:tc>
        <w:tc>
          <w:tcPr>
            <w:tcW w:type="dxa" w:w="155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FY2023</w:t>
            </w:r>
          </w:p>
        </w:tc>
        <w:tc>
          <w:tcPr>
            <w:tcW w:type="dxa" w:w="155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FY2024</w:t>
            </w:r>
          </w:p>
        </w:tc>
        <w:tc>
          <w:tcPr>
            <w:tcW w:type="dxa" w:w="155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FY2025</w:t>
            </w:r>
          </w:p>
        </w:tc>
      </w:tr>
      <w:tr>
        <w:tc>
          <w:tcPr>
            <w:tcW w:type="dxa" w:w="31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6"/>
                <w:szCs w:val="16"/>
              </w:rPr>
              <w:t xml:space="preserve">กระแสเงินสดจากการดำเนินงาน</w:t>
            </w:r>
          </w:p>
        </w:tc>
        <w:tc>
          <w:tcPr>
            <w:tcW w:type="dxa" w:w="155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69,873</w:t>
            </w:r>
          </w:p>
        </w:tc>
        <w:tc>
          <w:tcPr>
            <w:tcW w:type="dxa" w:w="155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87,172</w:t>
            </w:r>
          </w:p>
        </w:tc>
        <w:tc>
          <w:tcPr>
            <w:tcW w:type="dxa" w:w="155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76,169</w:t>
            </w:r>
          </w:p>
        </w:tc>
        <w:tc>
          <w:tcPr>
            <w:tcW w:type="dxa" w:w="155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74,255</w:t>
            </w:r>
          </w:p>
        </w:tc>
      </w:tr>
      <w:tr>
        <w:tc>
          <w:tcPr>
            <w:tcW w:type="dxa" w:w="316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6"/>
                <w:szCs w:val="16"/>
              </w:rPr>
              <w:t xml:space="preserve">เงินลงทุน (CAPEX)</w:t>
            </w:r>
          </w:p>
        </w:tc>
        <w:tc>
          <w:tcPr>
            <w:tcW w:type="dxa" w:w="155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25,698</w:t>
            </w:r>
          </w:p>
        </w:tc>
        <w:tc>
          <w:tcPr>
            <w:tcW w:type="dxa" w:w="155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24,270</w:t>
            </w:r>
          </w:p>
        </w:tc>
        <w:tc>
          <w:tcPr>
            <w:tcW w:type="dxa" w:w="155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22,915</w:t>
            </w:r>
          </w:p>
        </w:tc>
        <w:tc>
          <w:tcPr>
            <w:tcW w:type="dxa" w:w="155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24,475</w:t>
            </w:r>
          </w:p>
        </w:tc>
      </w:tr>
      <w:tr>
        <w:tc>
          <w:tcPr>
            <w:tcW w:type="dxa" w:w="31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6"/>
                <w:szCs w:val="16"/>
              </w:rPr>
              <w:t xml:space="preserve">กระแสเงินสดอิสระ (FCF)</w:t>
            </w:r>
          </w:p>
        </w:tc>
        <w:tc>
          <w:tcPr>
            <w:tcW w:type="dxa" w:w="155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44,175</w:t>
            </w:r>
          </w:p>
        </w:tc>
        <w:tc>
          <w:tcPr>
            <w:tcW w:type="dxa" w:w="155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62,902</w:t>
            </w:r>
          </w:p>
        </w:tc>
        <w:tc>
          <w:tcPr>
            <w:tcW w:type="dxa" w:w="155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53,254</w:t>
            </w:r>
          </w:p>
        </w:tc>
        <w:tc>
          <w:tcPr>
            <w:tcW w:type="dxa" w:w="155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49,780</w:t>
            </w:r>
          </w:p>
        </w:tc>
      </w:tr>
      <w:tr>
        <w:tc>
          <w:tcPr>
            <w:tcW w:type="dxa" w:w="316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6"/>
                <w:szCs w:val="16"/>
              </w:rPr>
              <w:t xml:space="preserve">เงินปันผลจ่าย</w:t>
            </w:r>
          </w:p>
        </w:tc>
        <w:tc>
          <w:tcPr>
            <w:tcW w:type="dxa" w:w="155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6,350</w:t>
            </w:r>
          </w:p>
        </w:tc>
        <w:tc>
          <w:tcPr>
            <w:tcW w:type="dxa" w:w="155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7,197</w:t>
            </w:r>
          </w:p>
        </w:tc>
        <w:tc>
          <w:tcPr>
            <w:tcW w:type="dxa" w:w="155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8,982</w:t>
            </w:r>
          </w:p>
        </w:tc>
        <w:tc>
          <w:tcPr>
            <w:tcW w:type="dxa" w:w="155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12,128</w:t>
            </w:r>
          </w:p>
        </w:tc>
      </w:tr>
      <w:tr>
        <w:tc>
          <w:tcPr>
            <w:tcW w:type="dxa" w:w="31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6"/>
                <w:szCs w:val="16"/>
              </w:rPr>
              <w:t xml:space="preserve">CFO ต่อกำไรสุทธิ</w:t>
            </w:r>
          </w:p>
        </w:tc>
        <w:tc>
          <w:tcPr>
            <w:tcW w:type="dxa" w:w="155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5.27x</w:t>
            </w:r>
          </w:p>
        </w:tc>
        <w:tc>
          <w:tcPr>
            <w:tcW w:type="dxa" w:w="155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4.72x</w:t>
            </w:r>
          </w:p>
        </w:tc>
        <w:tc>
          <w:tcPr>
            <w:tcW w:type="dxa" w:w="155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3.01x</w:t>
            </w:r>
          </w:p>
        </w:tc>
        <w:tc>
          <w:tcPr>
            <w:tcW w:type="dxa" w:w="155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2.63x</w:t>
            </w:r>
          </w:p>
        </w:tc>
      </w:tr>
    </w:tbl>
    <w:p>
      <w:pPr>
        <w:pBdr>
          <w:left w:val="single" w:color="8A5A0C" w:sz="18"/>
        </w:pBdr>
        <w:shd w:fill="F5EBDA" w:color="auto" w:val="clear"/>
        <w:spacing w:after="200" w:before="80"/>
        <w:ind w:left="160"/>
      </w:pPr>
      <w:r>
        <w:rPr>
          <w:rFonts w:ascii="Tahoma" w:cs="Tahoma" w:eastAsia="Tahoma" w:hAnsi="Tahoma"/>
          <w:b/>
          <w:bCs/>
          <w:color w:val="8A5A0C"/>
          <w:sz w:val="20"/>
          <w:szCs w:val="20"/>
        </w:rPr>
        <w:t xml:space="preserve">ยังยืนยันไม่ได้ — </w:t>
      </w:r>
      <w:r>
        <w:rPr>
          <w:rFonts w:ascii="Tahoma" w:cs="Tahoma" w:eastAsia="Tahoma" w:hAnsi="Tahoma"/>
          <w:color w:val="1A1A1A"/>
          <w:sz w:val="20"/>
          <w:szCs w:val="20"/>
        </w:rPr>
        <w:t xml:space="preserve">ตัวเลขในตารางนี้มาจาก stockanalysis.com (S13) ซึ่งเป็นผู้รวบรวมบุคคลที่สาม และในการตรวจสอบพบว่าแหล่งเดียวกันให้ตัวเลขของ CP AXTRA ผิดในจุดที่ตรวจสอบได้ ใช้เป็นทิศทางได้ แต่ไม่ควรใช้เป็นตัวเลขอ้างอิงขั้นสุดท้ายจนกว่าจะกระทบยอดกับงบตรวจสอบ</w:t>
      </w:r>
    </w:p>
    <w:p>
      <w:pPr>
        <w:spacing w:after="120" w:before="0" w:line="300"/>
      </w:pPr>
      <w:r>
        <w:rPr>
          <w:rFonts w:ascii="Tahoma" w:cs="Tahoma" w:eastAsia="Tahoma" w:hAnsi="Tahoma"/>
          <w:color w:val="1A1A1A"/>
          <w:sz w:val="20"/>
          <w:szCs w:val="20"/>
        </w:rPr>
        <w:t xml:space="preserve">หากตัวเลขชุดนี้ถูกต้องในเชิงทิศทาง ประเด็นที่ต้องหาคำตอบคือ กระแสเงินสดจากการดำเนินงานลดลงต่อเนื่องสามปีขณะที่กำไรสุทธิเพิ่มขึ้นทุกปี ทำให้อัตราส่วน CFO ต่อกำไรสุทธิลดจาก 4.7 เท่าเหลือ 2.6 เท่า ส่วนหนึ่งอธิบายได้จากฐานกำไรที่โตเร็วกว่า แต่การที่ CFO ลดลงในเชิงสัมบูรณ์เป็นสิ่งที่ต้องยืนยันจากงบกระแสเงินสดฉบับเต็ม</w:t>
      </w:r>
    </w:p>
    <w:p>
      <w:pPr>
        <w:spacing w:after="120" w:before="0" w:line="300"/>
      </w:pPr>
      <w:r>
        <w:rPr>
          <w:rFonts w:ascii="Tahoma" w:cs="Tahoma" w:eastAsia="Tahoma" w:hAnsi="Tahoma"/>
          <w:color w:val="1A1A1A"/>
          <w:sz w:val="20"/>
          <w:szCs w:val="20"/>
        </w:rPr>
        <w:t xml:space="preserve">ด้านหนี้ ตัวเลขจากเอกสารทางการชัดเจนกว่า: หนี้ที่มีภาระดอกเบี้ยไม่รวมสัญญาเช่าอยู่ที่ 327,345 ล้านบาท ณ สิ้นปี 2566 และ 319,574 ล้านบาท ณ สิ้นไตรมาส 2/2569 แทบไม่ลดลงตลอดสามปี บริษัทรายงานอัตราส่วนหนี้สินสุทธิต่อส่วนของผู้ถือหุ้นที่ปรับปรุงแล้วที่ 0.82 เท่า ต่ำกว่าเงื่อนไขหุ้นกู้ที่ 2 เท่า โดยนิยามนี้ไม่รวมหนี้สินตามสัญญาเช่า และหารด้วยส่วนของผู้ถือหุ้นที่รวมส่วนของผู้ถือหุ้นส่วนน้อยไว้ด้วย</w:t>
      </w:r>
    </w:p>
    <w:p>
      <w:pPr>
        <w:spacing w:after="200" w:before="60"/>
      </w:pPr>
      <w:r>
        <w:rPr>
          <w:rFonts w:ascii="Tahoma" w:cs="Tahoma" w:eastAsia="Tahoma" w:hAnsi="Tahoma"/>
          <w:i/>
          <w:iCs/>
          <w:color w:val="8A5A0C"/>
          <w:sz w:val="15"/>
          <w:szCs w:val="15"/>
        </w:rPr>
        <w:t xml:space="preserve">ขนาดของผลกระทบจากนิยามนี้ยังยืนยันไม่ได้ เพราะยังเข้าถึงงบแสดงฐานะการเงินฉบับทางการไม่ได้ ตัวเลขส่วนของผู้ถือหุ้น ค่าความนิยม และส่วนได้เสียที่ไม่มีอำนาจควบคุม จึงถูกตัดออกจากชุดงานนี้ทั้งหมด</w:t>
      </w:r>
    </w:p>
    <w:p>
      <w:pPr>
        <w:pStyle w:val="Heading1"/>
        <w:spacing w:after="140" w:before="280"/>
      </w:pPr>
      <w:r>
        <w:rPr>
          <w:rFonts w:ascii="Tahoma" w:cs="Tahoma" w:eastAsia="Tahoma" w:hAnsi="Tahoma"/>
          <w:b/>
          <w:bCs/>
          <w:color w:val="0E5C4A"/>
          <w:sz w:val="28"/>
          <w:szCs w:val="28"/>
        </w:rPr>
        <w:t xml:space="preserve">4. การเติบโต</w:t>
      </w:r>
    </w:p>
    <w:p>
      <w:pPr>
        <w:spacing w:after="120" w:before="0" w:line="300"/>
      </w:pPr>
      <w:r>
        <w:rPr>
          <w:rFonts w:ascii="Tahoma" w:cs="Tahoma" w:eastAsia="Tahoma" w:hAnsi="Tahoma"/>
          <w:color w:val="1A1A1A"/>
          <w:sz w:val="20"/>
          <w:szCs w:val="20"/>
        </w:rPr>
        <w:t xml:space="preserve">บริษัทระบุใน MD&amp;A ไตรมาส 2/2569 ว่ารายได้คาดว่าจะเติบโตสอดคล้องกับการเติบโตทางเศรษฐกิจของประเทศไทย และตั้งเป้าเปิดสาขาใหม่ราว 700 แห่งในปี 2569 ด้วยงบลงทุน 12,000–13,600 ล้านบาท (S1) ขณะที่สภาพัฒน์รายงาน GDP ไตรมาส 2/2569 เติบโต 1.9% ชะลอจาก 2.8% ในไตรมาสแรก และคาดทั้งปีที่ 2.0–2.5% (S12)</w:t>
      </w:r>
    </w:p>
    <w:p>
      <w:pPr>
        <w:spacing w:after="120" w:before="0" w:line="300"/>
      </w:pPr>
      <w:r>
        <w:rPr>
          <w:rFonts w:ascii="Tahoma" w:cs="Tahoma" w:eastAsia="Tahoma" w:hAnsi="Tahoma"/>
          <w:color w:val="1A1A1A"/>
          <w:sz w:val="20"/>
          <w:szCs w:val="20"/>
        </w:rPr>
        <w:t xml:space="preserve">เมื่อบริษัทผูกแนวโน้มรายได้ไว้กับ GDP ที่ราว 2% และยอดขายสาขาเดิมอยู่ที่ 0.8% การเติบโตของรายได้ในกรอบ 3–5 ปีจึงเหลือแหล่งเดียวที่ควบคุมได้เอง คือการเปิดสาขาใหม่ปีละราว 4.4–4.6% ของฐานสาขาเดิม</w:t>
      </w:r>
    </w:p>
    <w:p>
      <w:pPr>
        <w:spacing w:after="120" w:before="0" w:line="300"/>
      </w:pPr>
      <w:r>
        <w:rPr>
          <w:rFonts w:ascii="Tahoma" w:cs="Tahoma" w:eastAsia="Tahoma" w:hAnsi="Tahoma"/>
          <w:b/>
          <w:bCs/>
          <w:color w:val="1A1A1A"/>
          <w:sz w:val="20"/>
          <w:szCs w:val="20"/>
        </w:rPr>
        <w:t xml:space="preserve">ประเด็นผลิตภาพต่อสาขา: </w:t>
      </w:r>
      <w:r>
        <w:rPr>
          <w:rFonts w:ascii="Tahoma" w:cs="Tahoma" w:eastAsia="Tahoma" w:hAnsi="Tahoma"/>
          <w:color w:val="1A1A1A"/>
          <w:sz w:val="20"/>
          <w:szCs w:val="20"/>
        </w:rPr>
        <w:t xml:space="preserve">ยอดขายเฉลี่ยต่อร้านต่อวันเพิ่มขึ้น 3.8% ในปี 2567 (80,837 เป็น 83,906 บาท) ก่อนจะลดลง 0.15% ในปี 2568 (เหลือ 83,777 บาท) การลดลงเพียงปีเดียวในระดับต่ำกว่าครึ่งเปอร์เซ็นต์ยังไม่พอสรุปว่าเกิดการแย่งลูกค้ากันเองเชิงโครงสร้าง สิ่งที่พูดได้คือผลิตภาพต่อสาขาหยุดเพิ่ม และควรเฝ้าดูอีกสองถึงสามงวดก่อนสรุปสาเหตุ ซึ่งอาจเป็นกำลังซื้อที่อ่อนลงก็ได้</w:t>
      </w:r>
    </w:p>
    <w:p>
      <w:pPr>
        <w:spacing w:after="120" w:before="0" w:line="300"/>
      </w:pPr>
      <w:r>
        <w:rPr>
          <w:rFonts w:ascii="Tahoma" w:cs="Tahoma" w:eastAsia="Tahoma" w:hAnsi="Tahoma"/>
          <w:color w:val="1A1A1A"/>
          <w:sz w:val="20"/>
          <w:szCs w:val="20"/>
        </w:rPr>
        <w:t xml:space="preserve">ด้านอุตสาหกรรม Krungsri Research ฉบับ 30 เมษายน 2569 ประมาณการว่ากลุ่มร้านสะดวกซื้อจะเติบโต 4.5–5.2% ต่อปีในช่วงปี 2569–2571 ขณะที่ค้าปลีกสมัยใหม่ภาพรวมโตเพียง 1.5–2.5% ในปี 2569 (S11) ตัวเลขนี้ถูกใช้เป็นฐานของกรณี Base ในบทที่ 6</w:t>
      </w:r>
    </w:p>
    <w:p>
      <w:pPr>
        <w:spacing w:after="120" w:before="0" w:line="300"/>
      </w:pPr>
      <w:r>
        <w:rPr>
          <w:rFonts w:ascii="Tahoma" w:cs="Tahoma" w:eastAsia="Tahoma" w:hAnsi="Tahoma"/>
          <w:color w:val="1A1A1A"/>
          <w:sz w:val="20"/>
          <w:szCs w:val="20"/>
        </w:rPr>
        <w:t xml:space="preserve">ตัวขับเคลื่อนที่ยังเหลือและมีน้ำหนักจริงคือสัดส่วนสินค้ามาร์จิ้นสูง โดยเฉพาะอาหารพร้อมทานและเครื่องดื่ม ซึ่งทำให้อัตรากำไรขั้นต้นของธุรกิจร้านสะดวกซื้ออยู่ที่ 29.3% เทียบกับ 22.8% ของทั้งกลุ่ม แต่เป็นการปรับที่ทำได้ทีละหลักสิบ basis point ไม่ใช่การก้าวกระโดด</w:t>
      </w:r>
    </w:p>
    <w:p>
      <w:r>
        <w:br w:type="page"/>
      </w:r>
    </w:p>
    <w:p>
      <w:pPr>
        <w:pStyle w:val="Heading1"/>
        <w:spacing w:after="140" w:before="280"/>
      </w:pPr>
      <w:r>
        <w:rPr>
          <w:rFonts w:ascii="Tahoma" w:cs="Tahoma" w:eastAsia="Tahoma" w:hAnsi="Tahoma"/>
          <w:b/>
          <w:bCs/>
          <w:color w:val="0E5C4A"/>
          <w:sz w:val="28"/>
          <w:szCs w:val="28"/>
        </w:rPr>
        <w:t xml:space="preserve">5. ความได้เปรียบในการแข่งขัน และความเสี่ยง</w:t>
      </w:r>
    </w:p>
    <w:p>
      <w:pPr>
        <w:pStyle w:val="Heading2"/>
        <w:spacing w:after="140" w:before="280"/>
      </w:pPr>
      <w:r>
        <w:rPr>
          <w:rFonts w:ascii="Tahoma" w:cs="Tahoma" w:eastAsia="Tahoma" w:hAnsi="Tahoma"/>
          <w:b/>
          <w:bCs/>
          <w:color w:val="1A1A1A"/>
          <w:sz w:val="24"/>
          <w:szCs w:val="24"/>
        </w:rPr>
        <w:t xml:space="preserve">5.1 ความได้เปรียบ พร้อมข้อโต้แย้ง</w:t>
      </w:r>
    </w:p>
    <w:tbl>
      <w:tblPr>
        <w:tblW w:type="dxa" w:w="9360"/>
        <w:tblBorders>
          <w:top w:val="single" w:color="D5DAD5" w:sz="2"/>
          <w:left w:val="none"/>
          <w:bottom w:val="single" w:color="D5DAD5" w:sz="2"/>
          <w:right w:val="none"/>
          <w:insideH w:val="single" w:color="E4E8E3" w:sz="1"/>
          <w:insideV w:val="none"/>
        </w:tblBorders>
      </w:tblPr>
      <w:tblGrid>
        <w:gridCol w:w="2200"/>
        <w:gridCol w:w="3580"/>
        <w:gridCol w:w="3580"/>
      </w:tblGrid>
      <w:tr>
        <w:trPr>
          <w:tblHeader/>
        </w:trPr>
        <w:tc>
          <w:tcPr>
            <w:tcW w:type="dxa" w:w="220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ความได้เปรียบ</w:t>
            </w:r>
          </w:p>
        </w:tc>
        <w:tc>
          <w:tcPr>
            <w:tcW w:type="dxa" w:w="358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หลักฐาน</w:t>
            </w:r>
          </w:p>
        </w:tc>
        <w:tc>
          <w:tcPr>
            <w:tcW w:type="dxa" w:w="358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ข้อโต้แย้ง</w:t>
            </w:r>
          </w:p>
        </w:tc>
      </w:tr>
      <w:tr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6"/>
                <w:szCs w:val="16"/>
              </w:rPr>
              <w:t xml:space="preserve">เครือข่ายที่คู่แข่งสร้างตามไม่ทัน</w:t>
            </w:r>
          </w:p>
        </w:tc>
        <w:tc>
          <w:tcPr>
            <w:tcW w:type="dxa" w:w="358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16,284 สาขาในไทย ณ 30 มิ.ย. 2569 บวกลาว 32 กัมพูชา 39 แห่ง ขยายได้ปีละราว 700 แห่งสามปีติด (S1, S3)</w:t>
            </w:r>
          </w:p>
        </w:tc>
        <w:tc>
          <w:tcPr>
            <w:tcW w:type="dxa" w:w="358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เครือข่ายใหญ่ขึ้น 4.6% ในปี 2568 แต่ผลิตภาพต่อสาขาไม่เพิ่ม และ SSSG ลงจาก 5.5% เหลือ 0.8% ในสามปี</w:t>
            </w:r>
          </w:p>
        </w:tc>
      </w:tr>
      <w:tr>
        <w:tc>
          <w:tcPr>
            <w:tcW w:type="dxa" w:w="22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6"/>
                <w:szCs w:val="16"/>
              </w:rPr>
              <w:t xml:space="preserve">ซัพพลายเออร์เป็นผู้ออกเงินทุนหมุนเวียน</w:t>
            </w:r>
          </w:p>
        </w:tc>
        <w:tc>
          <w:tcPr>
            <w:tcW w:type="dxa" w:w="358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เจ้าหนี้การค้า 117,537 ล้านบาท เทียบสินค้าคงเหลือ 68,442 และลูกหนี้การค้าเพียง 4,781 ล้านบาท ณ 30 มิ.ย. 2569 (S1)</w:t>
            </w:r>
          </w:p>
        </w:tc>
        <w:tc>
          <w:tcPr>
            <w:tcW w:type="dxa" w:w="358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เป็นความได้เปรียบเชิงโครงสร้างที่แท้จริง แต่ขยายตามยอดขาย จึงหดตัวได้เช่นกันหากยอดขายชะลอ</w:t>
            </w:r>
          </w:p>
        </w:tc>
      </w:tr>
      <w:tr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6"/>
                <w:szCs w:val="16"/>
              </w:rPr>
              <w:t xml:space="preserve">มาร์จิ้นของธุรกิจ CVS สูงกว่าทั้งกลุ่มมาก</w:t>
            </w:r>
          </w:p>
        </w:tc>
        <w:tc>
          <w:tcPr>
            <w:tcW w:type="dxa" w:w="358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อัตรากำไรขั้นต้นธุรกิจร้านสะดวกซื้อ 29.3% เทียบงบรวม 22.8% กำไรจากการดำเนินงานโต 11.0% บนรายได้ที่โต 5.1% (S1)</w:t>
            </w:r>
          </w:p>
        </w:tc>
        <w:tc>
          <w:tcPr>
            <w:tcW w:type="dxa" w:w="358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ธุรกิจค้าส่ง-ค้าปลีกซึ่งกินรายได้เกือบครึ่ง ทำกำไรก่อนต้นทุนการเงินเพียง 23% จึงถ่วงภาพรวม</w:t>
            </w:r>
          </w:p>
        </w:tc>
      </w:tr>
      <w:tr>
        <w:tc>
          <w:tcPr>
            <w:tcW w:type="dxa" w:w="22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6"/>
                <w:szCs w:val="16"/>
              </w:rPr>
              <w:t xml:space="preserve">อำนาจต่อรองกับผู้ผลิต</w:t>
            </w:r>
          </w:p>
        </w:tc>
        <w:tc>
          <w:tcPr>
            <w:tcW w:type="dxa" w:w="358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ความหนาแน่นสาขาระดับนี้ทำให้ต้นทุนกระจายสินค้าต่อหน่วยต่ำกว่าคู่แข่งในกรอบ 3–5 ปี</w:t>
            </w:r>
          </w:p>
        </w:tc>
        <w:tc>
          <w:tcPr>
            <w:tcW w:type="dxa" w:w="358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ถูกกันออกจากมาตรการรัฐได้ — 7-Eleven ไม่เข้าร่วมโครงการคนละครึ่ง ซึ่งกดทราฟฟิกเดือนมิถุนายน 2569</w:t>
            </w:r>
          </w:p>
        </w:tc>
      </w:tr>
    </w:tbl>
    <w:p>
      <w:pPr>
        <w:pStyle w:val="Heading2"/>
        <w:spacing w:after="140" w:before="280"/>
      </w:pPr>
      <w:r>
        <w:rPr>
          <w:rFonts w:ascii="Tahoma" w:cs="Tahoma" w:eastAsia="Tahoma" w:hAnsi="Tahoma"/>
          <w:b/>
          <w:bCs/>
          <w:color w:val="1A1A1A"/>
          <w:sz w:val="24"/>
          <w:szCs w:val="24"/>
        </w:rPr>
        <w:t xml:space="preserve">5.2 ความเสี่ยง</w:t>
      </w:r>
    </w:p>
    <w:tbl>
      <w:tblPr>
        <w:tblW w:type="dxa" w:w="9360"/>
        <w:tblBorders>
          <w:top w:val="single" w:color="D5DAD5" w:sz="2"/>
          <w:left w:val="none"/>
          <w:bottom w:val="single" w:color="D5DAD5" w:sz="2"/>
          <w:right w:val="none"/>
          <w:insideH w:val="single" w:color="E4E8E3" w:sz="1"/>
          <w:insideV w:val="none"/>
        </w:tblBorders>
      </w:tblPr>
      <w:tblGrid>
        <w:gridCol w:w="1200"/>
        <w:gridCol w:w="4560"/>
        <w:gridCol w:w="1360"/>
        <w:gridCol w:w="2240"/>
      </w:tblGrid>
      <w:tr>
        <w:trPr>
          <w:tblHeader/>
        </w:trPr>
        <w:tc>
          <w:tcPr>
            <w:tcW w:type="dxa" w:w="120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ประเภท</w:t>
            </w:r>
          </w:p>
        </w:tc>
        <w:tc>
          <w:tcPr>
            <w:tcW w:type="dxa" w:w="456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ความเสี่ยง</w:t>
            </w:r>
          </w:p>
        </w:tc>
        <w:tc>
          <w:tcPr>
            <w:tcW w:type="dxa" w:w="136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ระดับ</w:t>
            </w:r>
          </w:p>
        </w:tc>
        <w:tc>
          <w:tcPr>
            <w:tcW w:type="dxa" w:w="224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หลักฐาน / สถานะ</w:t>
            </w:r>
          </w:p>
        </w:tc>
      </w:tr>
      <w:tr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6"/>
                <w:szCs w:val="16"/>
              </w:rPr>
              <w:t xml:space="preserve">ธุรกิจ</w:t>
            </w:r>
          </w:p>
        </w:tc>
        <w:tc>
          <w:tcPr>
            <w:tcW w:type="dxa" w:w="45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CP AXTRA กำลังถอยหลัง — กำไรสุทธิปี 2568 อยู่ที่ 9,356 ล้านบาท ลดลง 13.7% จาก 10,837 ล้านบาท ขณะที่รายได้เพิ่มเพียง 1.7%</w:t>
            </w:r>
          </w:p>
        </w:tc>
        <w:tc>
          <w:tcPr>
            <w:tcW w:type="dxa" w:w="13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สูง</w:t>
            </w:r>
          </w:p>
        </w:tc>
        <w:tc>
          <w:tcPr>
            <w:tcW w:type="dxa" w:w="224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S7, S8 · ทางการทั้งคู่</w:t>
            </w:r>
          </w:p>
        </w:tc>
      </w:tr>
      <w:tr>
        <w:tc>
          <w:tcPr>
            <w:tcW w:type="dxa" w:w="12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6"/>
                <w:szCs w:val="16"/>
              </w:rPr>
              <w:t xml:space="preserve">ธุรกิจ</w:t>
            </w:r>
          </w:p>
        </w:tc>
        <w:tc>
          <w:tcPr>
            <w:tcW w:type="dxa" w:w="456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SSSG เข้าใกล้ศูนย์ที่ 0.8% ต่ำกว่าอัตราเงินเฟ้อ บ่งชี้ว่าปริมาณหรือความถี่การซื้อกำลังลดลง</w:t>
            </w:r>
          </w:p>
        </w:tc>
        <w:tc>
          <w:tcPr>
            <w:tcW w:type="dxa" w:w="136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สูง</w:t>
            </w:r>
          </w:p>
        </w:tc>
        <w:tc>
          <w:tcPr>
            <w:tcW w:type="dxa" w:w="224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S1 · ยืนยันแล้ว</w:t>
            </w:r>
          </w:p>
        </w:tc>
      </w:tr>
      <w:tr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6"/>
                <w:szCs w:val="16"/>
              </w:rPr>
              <w:t xml:space="preserve">การเงิน</w:t>
            </w:r>
          </w:p>
        </w:tc>
        <w:tc>
          <w:tcPr>
            <w:tcW w:type="dxa" w:w="45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หนี้มีภาระดอกเบี้ยราว 320,000 ล้านบาทที่ไม่ลดลงมาสามปี ทุก 1% ของต้นทุนดอกเบี้ยคิดเป็นราว 3,200 ล้านบาทต่อปี หรือกว่า 11% ของกำไรสุทธิ</w:t>
            </w:r>
          </w:p>
        </w:tc>
        <w:tc>
          <w:tcPr>
            <w:tcW w:type="dxa" w:w="13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ปานกลาง-สูง</w:t>
            </w:r>
          </w:p>
        </w:tc>
        <w:tc>
          <w:tcPr>
            <w:tcW w:type="dxa" w:w="224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S1, S3, S4 · ยังไม่มีตารางครบกำหนดหุ้นกู้</w:t>
            </w:r>
          </w:p>
        </w:tc>
      </w:tr>
      <w:tr>
        <w:tc>
          <w:tcPr>
            <w:tcW w:type="dxa" w:w="12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6"/>
                <w:szCs w:val="16"/>
              </w:rPr>
              <w:t xml:space="preserve">การเงิน</w:t>
            </w:r>
          </w:p>
        </w:tc>
        <w:tc>
          <w:tcPr>
            <w:tcW w:type="dxa" w:w="456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โครงสร้างงบดุลจากดีล Lotus's — ขนาดค่าความนิยมและสัดส่วนส่วนได้เสียที่ไม่มีอำนาจควบคุม</w:t>
            </w:r>
          </w:p>
        </w:tc>
        <w:tc>
          <w:tcPr>
            <w:tcW w:type="dxa" w:w="136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ยังประเมินไม่ได้</w:t>
            </w:r>
          </w:p>
        </w:tc>
        <w:tc>
          <w:tcPr>
            <w:tcW w:type="dxa" w:w="224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ยังยืนยันไม่ได้ · ต้องเปิด S6 หน้า 447+</w:t>
            </w:r>
          </w:p>
        </w:tc>
      </w:tr>
      <w:tr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6"/>
                <w:szCs w:val="16"/>
              </w:rPr>
              <w:t xml:space="preserve">การแข่งขัน</w:t>
            </w:r>
          </w:p>
        </w:tc>
        <w:tc>
          <w:tcPr>
            <w:tcW w:type="dxa" w:w="45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หนี้ครัวเรือนสูงจำกัดกำลังซื้อ และการแข่งขันจากอีคอมเมิร์ซและผู้ค้าจีน</w:t>
            </w:r>
          </w:p>
        </w:tc>
        <w:tc>
          <w:tcPr>
            <w:tcW w:type="dxa" w:w="13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ปานกลาง-สูง</w:t>
            </w:r>
          </w:p>
        </w:tc>
        <w:tc>
          <w:tcPr>
            <w:tcW w:type="dxa" w:w="224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S11</w:t>
            </w:r>
          </w:p>
        </w:tc>
      </w:tr>
      <w:tr>
        <w:tc>
          <w:tcPr>
            <w:tcW w:type="dxa" w:w="12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6"/>
                <w:szCs w:val="16"/>
              </w:rPr>
              <w:t xml:space="preserve">นโยบาย</w:t>
            </w:r>
          </w:p>
        </w:tc>
        <w:tc>
          <w:tcPr>
            <w:tcW w:type="dxa" w:w="456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ถูกกันออกจากมาตรการกระตุ้นของรัฐเพราะขนาดใหญ่ อาจเกิดซ้ำทุกรอบมาตรการ</w:t>
            </w:r>
          </w:p>
        </w:tc>
        <w:tc>
          <w:tcPr>
            <w:tcW w:type="dxa" w:w="136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ปานกลาง</w:t>
            </w:r>
          </w:p>
        </w:tc>
        <w:tc>
          <w:tcPr>
            <w:tcW w:type="dxa" w:w="224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รายงานข่าวหลังผลประกอบการ 2Q26</w:t>
            </w:r>
          </w:p>
        </w:tc>
      </w:tr>
      <w:tr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6"/>
                <w:szCs w:val="16"/>
              </w:rPr>
              <w:t xml:space="preserve">ข้อมูล</w:t>
            </w:r>
          </w:p>
        </w:tc>
        <w:tc>
          <w:tcPr>
            <w:tcW w:type="dxa" w:w="45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ความโปร่งใสของ SSSG ลดลง — ปี 2568 เปลี่ยนจากตัวเลขเป็นคำบรรยาย</w:t>
            </w:r>
          </w:p>
        </w:tc>
        <w:tc>
          <w:tcPr>
            <w:tcW w:type="dxa" w:w="13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ปานกลาง</w:t>
            </w:r>
          </w:p>
        </w:tc>
        <w:tc>
          <w:tcPr>
            <w:tcW w:type="dxa" w:w="224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S3 · ยืนยันแล้ว</w:t>
            </w:r>
          </w:p>
        </w:tc>
      </w:tr>
    </w:tbl>
    <w:p>
      <w:r>
        <w:br w:type="page"/>
      </w:r>
    </w:p>
    <w:p>
      <w:pPr>
        <w:pStyle w:val="Heading1"/>
        <w:spacing w:after="140" w:before="280"/>
      </w:pPr>
      <w:r>
        <w:rPr>
          <w:rFonts w:ascii="Tahoma" w:cs="Tahoma" w:eastAsia="Tahoma" w:hAnsi="Tahoma"/>
          <w:b/>
          <w:bCs/>
          <w:color w:val="0E5C4A"/>
          <w:sz w:val="28"/>
          <w:szCs w:val="28"/>
        </w:rPr>
        <w:t xml:space="preserve">6. Bull / Base / Bear ระยะ 3–5 ปี (FY2026–FY2030)</w:t>
      </w:r>
    </w:p>
    <w:p>
      <w:pPr>
        <w:pBdr>
          <w:left w:val="single" w:color="8A5A0C" w:sz="18"/>
        </w:pBdr>
        <w:shd w:fill="F5EBDA" w:color="auto" w:val="clear"/>
        <w:spacing w:after="200"/>
        <w:ind w:left="160"/>
      </w:pPr>
      <w:r>
        <w:rPr>
          <w:rFonts w:ascii="Tahoma" w:cs="Tahoma" w:eastAsia="Tahoma" w:hAnsi="Tahoma"/>
          <w:b/>
          <w:bCs/>
          <w:color w:val="8A5A0C"/>
          <w:sz w:val="20"/>
          <w:szCs w:val="20"/>
        </w:rPr>
        <w:t xml:space="preserve">เส้นแบ่งข้อมูลจริงกับประมาณการ — </w:t>
      </w:r>
      <w:r>
        <w:rPr>
          <w:rFonts w:ascii="Tahoma" w:cs="Tahoma" w:eastAsia="Tahoma" w:hAnsi="Tahoma"/>
          <w:color w:val="1A1A1A"/>
          <w:sz w:val="20"/>
          <w:szCs w:val="20"/>
        </w:rPr>
        <w:t xml:space="preserve">บทที่ 3 ถึง 5 เป็นข้อมูลจริงจากเอกสารต้นทาง บทนี้ทั้งบทเป็นประมาณการของผู้จัดทำ ไม่ใช่ประมาณการของบริษัทและไม่ใช่ของนักวิเคราะห์ โมเดลคำนวณสดอยู่ในชีต 04_Scenario ของไฟล์ Excel ผู้อ่านแก้สมมติฐานเองได้</w:t>
      </w:r>
    </w:p>
    <w:p>
      <w:pPr>
        <w:pStyle w:val="Heading2"/>
        <w:spacing w:after="140" w:before="280"/>
      </w:pPr>
      <w:r>
        <w:rPr>
          <w:rFonts w:ascii="Tahoma" w:cs="Tahoma" w:eastAsia="Tahoma" w:hAnsi="Tahoma"/>
          <w:b/>
          <w:bCs/>
          <w:color w:val="1A1A1A"/>
          <w:sz w:val="24"/>
          <w:szCs w:val="24"/>
        </w:rPr>
        <w:t xml:space="preserve">6.1 สมมติฐานของแต่ละกรณี</w:t>
      </w:r>
    </w:p>
    <w:tbl>
      <w:tblPr>
        <w:tblW w:type="dxa" w:w="9360"/>
        <w:tblBorders>
          <w:top w:val="single" w:color="D5DAD5" w:sz="2"/>
          <w:left w:val="none"/>
          <w:bottom w:val="single" w:color="D5DAD5" w:sz="2"/>
          <w:right w:val="none"/>
          <w:insideH w:val="single" w:color="E4E8E3" w:sz="1"/>
          <w:insideV w:val="none"/>
        </w:tblBorders>
      </w:tblPr>
      <w:tblGrid>
        <w:gridCol w:w="2360"/>
        <w:gridCol w:w="900"/>
        <w:gridCol w:w="900"/>
        <w:gridCol w:w="900"/>
        <w:gridCol w:w="4300"/>
      </w:tblGrid>
      <w:tr>
        <w:trPr>
          <w:tblHeader/>
        </w:trPr>
        <w:tc>
          <w:tcPr>
            <w:tcW w:type="dxa" w:w="236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สมมติฐาน</w:t>
            </w:r>
          </w:p>
        </w:tc>
        <w:tc>
          <w:tcPr>
            <w:tcW w:type="dxa" w:w="90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Bull</w:t>
            </w:r>
          </w:p>
        </w:tc>
        <w:tc>
          <w:tcPr>
            <w:tcW w:type="dxa" w:w="90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Base</w:t>
            </w:r>
          </w:p>
        </w:tc>
        <w:tc>
          <w:tcPr>
            <w:tcW w:type="dxa" w:w="90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Bear</w:t>
            </w:r>
          </w:p>
        </w:tc>
        <w:tc>
          <w:tcPr>
            <w:tcW w:type="dxa" w:w="430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ที่มาของสมมติฐาน</w:t>
            </w:r>
          </w:p>
        </w:tc>
      </w:tr>
      <w:tr>
        <w:tc>
          <w:tcPr>
            <w:tcW w:type="dxa" w:w="23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6"/>
                <w:szCs w:val="16"/>
              </w:rPr>
              <w:t xml:space="preserve">การเติบโตรายได้ต่อปี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6.5%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4.5%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2.5%</w:t>
            </w:r>
          </w:p>
        </w:tc>
        <w:tc>
          <w:tcPr>
            <w:tcW w:type="dxa" w:w="43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Base อิงร้านสะดวกซื้อ 4.5–5.2% จาก S11 · Bear อิง GDP 2.0–2.5% จาก S12</w:t>
            </w:r>
          </w:p>
        </w:tc>
      </w:tr>
      <w:tr>
        <w:tc>
          <w:tcPr>
            <w:tcW w:type="dxa" w:w="236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6"/>
                <w:szCs w:val="16"/>
              </w:rPr>
              <w:t xml:space="preserve">อัตรากำไรสุทธิปลายทาง FY2030</w:t>
            </w:r>
          </w:p>
        </w:tc>
        <w:tc>
          <w:tcPr>
            <w:tcW w:type="dxa" w:w="9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3.10%</w:t>
            </w:r>
          </w:p>
        </w:tc>
        <w:tc>
          <w:tcPr>
            <w:tcW w:type="dxa" w:w="9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2.80%</w:t>
            </w:r>
          </w:p>
        </w:tc>
        <w:tc>
          <w:tcPr>
            <w:tcW w:type="dxa" w:w="9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2.45%</w:t>
            </w:r>
          </w:p>
        </w:tc>
        <w:tc>
          <w:tcPr>
            <w:tcW w:type="dxa" w:w="43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ฐาน FY2025 = 2.76% · Bear = กลับไประดับ FY2024 (2.57%) และต่ำกว่า</w:t>
            </w:r>
          </w:p>
        </w:tc>
      </w:tr>
      <w:tr>
        <w:tc>
          <w:tcPr>
            <w:tcW w:type="dxa" w:w="23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6"/>
                <w:szCs w:val="16"/>
              </w:rPr>
              <w:t xml:space="preserve">P/E ณ สิ้นปี 2030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17.0x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14.0x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11.0x</w:t>
            </w:r>
          </w:p>
        </w:tc>
        <w:tc>
          <w:tcPr>
            <w:tcW w:type="dxa" w:w="43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Base ใกล้เคียง P/E ปัจจุบันจาก EPS FY2025 (14.8x)</w:t>
            </w:r>
          </w:p>
        </w:tc>
      </w:tr>
      <w:tr>
        <w:tc>
          <w:tcPr>
            <w:tcW w:type="dxa" w:w="236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6"/>
                <w:szCs w:val="16"/>
              </w:rPr>
              <w:t xml:space="preserve">อัตราจ่ายเงินปันผล</w:t>
            </w:r>
          </w:p>
        </w:tc>
        <w:tc>
          <w:tcPr>
            <w:tcW w:type="dxa" w:w="9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55%</w:t>
            </w:r>
          </w:p>
        </w:tc>
        <w:tc>
          <w:tcPr>
            <w:tcW w:type="dxa" w:w="9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53%</w:t>
            </w:r>
          </w:p>
        </w:tc>
        <w:tc>
          <w:tcPr>
            <w:tcW w:type="dxa" w:w="9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50%</w:t>
            </w:r>
          </w:p>
        </w:tc>
        <w:tc>
          <w:tcPr>
            <w:tcW w:type="dxa" w:w="43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6"/>
                <w:szCs w:val="16"/>
              </w:rPr>
              <w:t xml:space="preserve">Base = อัตราจ่ายจริงของ FY2025</w:t>
            </w:r>
          </w:p>
        </w:tc>
      </w:tr>
    </w:tbl>
    <w:p>
      <w:pPr>
        <w:pStyle w:val="Heading2"/>
        <w:spacing w:after="140" w:before="280"/>
      </w:pPr>
      <w:r>
        <w:rPr>
          <w:rFonts w:ascii="Tahoma" w:cs="Tahoma" w:eastAsia="Tahoma" w:hAnsi="Tahoma"/>
          <w:b/>
          <w:bCs/>
          <w:color w:val="1A1A1A"/>
          <w:sz w:val="24"/>
          <w:szCs w:val="24"/>
        </w:rPr>
        <w:t xml:space="preserve">6.2 ผลลัพธ์</w:t>
      </w:r>
    </w:p>
    <w:tbl>
      <w:tblPr>
        <w:tblW w:type="dxa" w:w="9360"/>
        <w:tblBorders>
          <w:top w:val="single" w:color="D5DAD5" w:sz="2"/>
          <w:left w:val="none"/>
          <w:bottom w:val="single" w:color="D5DAD5" w:sz="2"/>
          <w:right w:val="none"/>
          <w:insideH w:val="single" w:color="E4E8E3" w:sz="1"/>
          <w:insideV w:val="none"/>
        </w:tblBorders>
      </w:tblPr>
      <w:tblGrid>
        <w:gridCol w:w="3660"/>
        <w:gridCol w:w="1900"/>
        <w:gridCol w:w="1900"/>
        <w:gridCol w:w="1900"/>
      </w:tblGrid>
      <w:tr>
        <w:trPr>
          <w:tblHeader/>
        </w:trPr>
        <w:tc>
          <w:tcPr>
            <w:tcW w:type="dxa" w:w="366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ผลลัพธ์</w:t>
            </w:r>
          </w:p>
        </w:tc>
        <w:tc>
          <w:tcPr>
            <w:tcW w:type="dxa" w:w="190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Bull</w:t>
            </w:r>
          </w:p>
        </w:tc>
        <w:tc>
          <w:tcPr>
            <w:tcW w:type="dxa" w:w="190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Base</w:t>
            </w:r>
          </w:p>
        </w:tc>
        <w:tc>
          <w:tcPr>
            <w:tcW w:type="dxa" w:w="190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Bear</w:t>
            </w:r>
          </w:p>
        </w:tc>
      </w:tr>
      <w:tr>
        <w:tc>
          <w:tcPr>
            <w:tcW w:type="dxa" w:w="36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7"/>
                <w:szCs w:val="17"/>
              </w:rPr>
              <w:t xml:space="preserve">CAGR กำไรสุทธิ 5 ปี</w:t>
            </w:r>
          </w:p>
        </w:tc>
        <w:tc>
          <w:tcPr>
            <w:tcW w:type="dxa" w:w="19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7"/>
                <w:szCs w:val="17"/>
              </w:rPr>
              <w:t xml:space="preserve">9.0%</w:t>
            </w:r>
          </w:p>
        </w:tc>
        <w:tc>
          <w:tcPr>
            <w:tcW w:type="dxa" w:w="19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7"/>
                <w:szCs w:val="17"/>
              </w:rPr>
              <w:t xml:space="preserve">4.8%</w:t>
            </w:r>
          </w:p>
        </w:tc>
        <w:tc>
          <w:tcPr>
            <w:tcW w:type="dxa" w:w="19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7"/>
                <w:szCs w:val="17"/>
              </w:rPr>
              <w:t xml:space="preserve">0.1%</w:t>
            </w:r>
          </w:p>
        </w:tc>
      </w:tr>
      <w:tr>
        <w:tc>
          <w:tcPr>
            <w:tcW w:type="dxa" w:w="366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7"/>
                <w:szCs w:val="17"/>
              </w:rPr>
              <w:t xml:space="preserve">EPS ปี 2030 (บาท)</w:t>
            </w:r>
          </w:p>
        </w:tc>
        <w:tc>
          <w:tcPr>
            <w:tcW w:type="dxa" w:w="19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7"/>
                <w:szCs w:val="17"/>
              </w:rPr>
              <w:t xml:space="preserve">4.80</w:t>
            </w:r>
          </w:p>
        </w:tc>
        <w:tc>
          <w:tcPr>
            <w:tcW w:type="dxa" w:w="19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7"/>
                <w:szCs w:val="17"/>
              </w:rPr>
              <w:t xml:space="preserve">3.94</w:t>
            </w:r>
          </w:p>
        </w:tc>
        <w:tc>
          <w:tcPr>
            <w:tcW w:type="dxa" w:w="19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7"/>
                <w:szCs w:val="17"/>
              </w:rPr>
              <w:t xml:space="preserve">3.13</w:t>
            </w:r>
          </w:p>
        </w:tc>
      </w:tr>
      <w:tr>
        <w:tc>
          <w:tcPr>
            <w:tcW w:type="dxa" w:w="36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7"/>
                <w:szCs w:val="17"/>
              </w:rPr>
              <w:t xml:space="preserve">ราคาเป้าหมายสิ้นปี 2030 (บาท)</w:t>
            </w:r>
          </w:p>
        </w:tc>
        <w:tc>
          <w:tcPr>
            <w:tcW w:type="dxa" w:w="19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7"/>
                <w:szCs w:val="17"/>
              </w:rPr>
              <w:t xml:space="preserve">81.54</w:t>
            </w:r>
          </w:p>
        </w:tc>
        <w:tc>
          <w:tcPr>
            <w:tcW w:type="dxa" w:w="19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7"/>
                <w:szCs w:val="17"/>
              </w:rPr>
              <w:t xml:space="preserve">55.17</w:t>
            </w:r>
          </w:p>
        </w:tc>
        <w:tc>
          <w:tcPr>
            <w:tcW w:type="dxa" w:w="19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7"/>
                <w:szCs w:val="17"/>
              </w:rPr>
              <w:t xml:space="preserve">34.43</w:t>
            </w:r>
          </w:p>
        </w:tc>
      </w:tr>
      <w:tr>
        <w:tc>
          <w:tcPr>
            <w:tcW w:type="dxa" w:w="366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7"/>
                <w:szCs w:val="17"/>
              </w:rPr>
              <w:t xml:space="preserve">เงินปันผลสะสม 5 ปี (บาท)</w:t>
            </w:r>
          </w:p>
        </w:tc>
        <w:tc>
          <w:tcPr>
            <w:tcW w:type="dxa" w:w="19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7"/>
                <w:szCs w:val="17"/>
              </w:rPr>
              <w:t xml:space="preserve">11.19</w:t>
            </w:r>
          </w:p>
        </w:tc>
        <w:tc>
          <w:tcPr>
            <w:tcW w:type="dxa" w:w="19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7"/>
                <w:szCs w:val="17"/>
              </w:rPr>
              <w:t xml:space="preserve">9.53</w:t>
            </w:r>
          </w:p>
        </w:tc>
        <w:tc>
          <w:tcPr>
            <w:tcW w:type="dxa" w:w="19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7"/>
                <w:szCs w:val="17"/>
              </w:rPr>
              <w:t xml:space="preserve">7.82</w:t>
            </w:r>
          </w:p>
        </w:tc>
      </w:tr>
      <w:tr>
        <w:tc>
          <w:tcPr>
            <w:tcW w:type="dxa" w:w="36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7"/>
                <w:szCs w:val="17"/>
              </w:rPr>
              <w:t xml:space="preserve">มูลค่ารวมที่ได้รับ (บาท)</w:t>
            </w:r>
          </w:p>
        </w:tc>
        <w:tc>
          <w:tcPr>
            <w:tcW w:type="dxa" w:w="19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7"/>
                <w:szCs w:val="17"/>
              </w:rPr>
              <w:t xml:space="preserve">92.74</w:t>
            </w:r>
          </w:p>
        </w:tc>
        <w:tc>
          <w:tcPr>
            <w:tcW w:type="dxa" w:w="19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7"/>
                <w:szCs w:val="17"/>
              </w:rPr>
              <w:t xml:space="preserve">64.70</w:t>
            </w:r>
          </w:p>
        </w:tc>
        <w:tc>
          <w:tcPr>
            <w:tcW w:type="dxa" w:w="19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7"/>
                <w:szCs w:val="17"/>
              </w:rPr>
              <w:t xml:space="preserve">42.26</w:t>
            </w:r>
          </w:p>
        </w:tc>
      </w:tr>
      <w:tr>
        <w:tc>
          <w:tcPr>
            <w:tcW w:type="dxa" w:w="366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7"/>
                <w:szCs w:val="17"/>
              </w:rPr>
              <w:t xml:space="preserve">ผลตอบแทนรวมต่อปี 5 ปี</w:t>
            </w:r>
          </w:p>
        </w:tc>
        <w:tc>
          <w:tcPr>
            <w:tcW w:type="dxa" w:w="19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7"/>
                <w:szCs w:val="17"/>
              </w:rPr>
              <w:t xml:space="preserve">+15.1%</w:t>
            </w:r>
          </w:p>
        </w:tc>
        <w:tc>
          <w:tcPr>
            <w:tcW w:type="dxa" w:w="19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7"/>
                <w:szCs w:val="17"/>
              </w:rPr>
              <w:t xml:space="preserve">+7.1%</w:t>
            </w:r>
          </w:p>
        </w:tc>
        <w:tc>
          <w:tcPr>
            <w:tcW w:type="dxa" w:w="19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right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7"/>
                <w:szCs w:val="17"/>
              </w:rPr>
              <w:t xml:space="preserve">−1.7%</w:t>
            </w:r>
          </w:p>
        </w:tc>
      </w:tr>
    </w:tbl>
    <w:p>
      <w:pPr>
        <w:spacing w:after="200" w:before="60"/>
      </w:pPr>
      <w:r>
        <w:rPr>
          <w:rFonts w:ascii="Tahoma" w:cs="Tahoma" w:eastAsia="Tahoma" w:hAnsi="Tahoma"/>
          <w:i/>
          <w:iCs/>
          <w:color w:val="5C6560"/>
          <w:sz w:val="15"/>
          <w:szCs w:val="15"/>
        </w:rPr>
        <w:t xml:space="preserve">คำนวณจากฐาน FY2025 (รายได้ 1,022,143 ล้านบาท กำไรสุทธิ 28,206 ล้านบาท) จำนวนหุ้น 9,051 ล้านหุ้น และราคาตั้งต้น 46.00 บาท · อัตรากำไรไต่เป็นเส้นตรงสู่ค่าปลายทางในห้าปี · ผลตอบแทนเป็นตัวเลขก่อนภาษีและค่าธรรมเนียม</w:t>
      </w:r>
    </w:p>
    <w:p>
      <w:pPr>
        <w:pStyle w:val="Heading2"/>
        <w:spacing w:after="140" w:before="280"/>
      </w:pPr>
      <w:r>
        <w:rPr>
          <w:rFonts w:ascii="Tahoma" w:cs="Tahoma" w:eastAsia="Tahoma" w:hAnsi="Tahoma"/>
          <w:b/>
          <w:bCs/>
          <w:color w:val="1A1A1A"/>
          <w:sz w:val="24"/>
          <w:szCs w:val="24"/>
        </w:rPr>
        <w:t xml:space="preserve">6.3 เงื่อนไขที่ต้องเกิดขึ้นในแต่ละกรณี</w:t>
      </w:r>
    </w:p>
    <w:tbl>
      <w:tblPr>
        <w:tblW w:type="dxa" w:w="9360"/>
        <w:tblBorders>
          <w:top w:val="single" w:color="D5DAD5" w:sz="2"/>
          <w:left w:val="none"/>
          <w:bottom w:val="single" w:color="D5DAD5" w:sz="2"/>
          <w:right w:val="none"/>
          <w:insideH w:val="single" w:color="E4E8E3" w:sz="1"/>
          <w:insideV w:val="none"/>
        </w:tblBorders>
      </w:tblPr>
      <w:tblGrid>
        <w:gridCol w:w="1100"/>
        <w:gridCol w:w="8260"/>
      </w:tblGrid>
      <w:tr>
        <w:trPr>
          <w:tblHeader/>
        </w:trPr>
        <w:tc>
          <w:tcPr>
            <w:tcW w:type="dxa" w:w="110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กรณี</w:t>
            </w:r>
          </w:p>
        </w:tc>
        <w:tc>
          <w:tcPr>
            <w:tcW w:type="dxa" w:w="826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เงื่อนไข</w:t>
            </w:r>
          </w:p>
        </w:tc>
      </w:tr>
      <w:tr>
        <w:tc>
          <w:tcPr>
            <w:tcW w:type="dxa" w:w="11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7"/>
                <w:szCs w:val="17"/>
              </w:rPr>
              <w:t xml:space="preserve">Bull</w:t>
            </w:r>
          </w:p>
        </w:tc>
        <w:tc>
          <w:tcPr>
            <w:tcW w:type="dxa" w:w="82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7"/>
                <w:szCs w:val="17"/>
              </w:rPr>
              <w:t xml:space="preserve">SSSG กลับมายืนเหนือ 2% สองไตรมาสติดโดยไม่ได้มาจากฐานต่ำหรือมาตรการรัฐชั่วคราว · CP AXTRA กลับมาโตและอัตรากำไรสุทธิเกิน 2.1% · หนี้มีภาระดอกเบี้ยลดต่ำกว่า 300,000 ล้านบาทโดยไม่ลดการลงทุน</w:t>
            </w:r>
          </w:p>
        </w:tc>
      </w:tr>
      <w:tr>
        <w:tc>
          <w:tcPr>
            <w:tcW w:type="dxa" w:w="11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7"/>
                <w:szCs w:val="17"/>
              </w:rPr>
              <w:t xml:space="preserve">Base</w:t>
            </w:r>
          </w:p>
        </w:tc>
        <w:tc>
          <w:tcPr>
            <w:tcW w:type="dxa" w:w="826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7"/>
                <w:szCs w:val="17"/>
              </w:rPr>
              <w:t xml:space="preserve">SSSG อยู่ในช่วง 0–2% · เปิดสาขาได้ตามเป้าราว 700 แห่งต่อปีโดยผลิตภาพต่อสาขาไม่ลดลง · CP AXTRA ทรงตัว · ไม่มีการตั้งด้อยค่าค่าความนิยม</w:t>
            </w:r>
          </w:p>
        </w:tc>
      </w:tr>
      <w:tr>
        <w:tc>
          <w:tcPr>
            <w:tcW w:type="dxa" w:w="11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7"/>
                <w:szCs w:val="17"/>
              </w:rPr>
              <w:t xml:space="preserve">Bear</w:t>
            </w:r>
          </w:p>
        </w:tc>
        <w:tc>
          <w:tcPr>
            <w:tcW w:type="dxa" w:w="82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7"/>
                <w:szCs w:val="17"/>
              </w:rPr>
              <w:t xml:space="preserve">SSSG ติดลบสองไตรมาสติด · CP AXTRA กำไรลดลงอีกปีพร้อมสัญญาณด้อยค่า · CFO ต่ำกว่า 70,000 ล้านบาท · GDP ต่ำกว่า 1.5%</w:t>
            </w:r>
          </w:p>
        </w:tc>
      </w:tr>
    </w:tbl>
    <w:p>
      <w:pPr>
        <w:pStyle w:val="Heading1"/>
        <w:spacing w:after="140" w:before="280"/>
      </w:pPr>
      <w:r>
        <w:rPr>
          <w:rFonts w:ascii="Tahoma" w:cs="Tahoma" w:eastAsia="Tahoma" w:hAnsi="Tahoma"/>
          <w:b/>
          <w:bCs/>
          <w:color w:val="0E5C4A"/>
          <w:sz w:val="28"/>
          <w:szCs w:val="28"/>
        </w:rPr>
        <w:t xml:space="preserve">7. สิ่งที่ต้องติดตามใน 12–24 เดือน</w:t>
      </w:r>
    </w:p>
    <w:tbl>
      <w:tblPr>
        <w:tblW w:type="dxa" w:w="9360"/>
        <w:tblBorders>
          <w:top w:val="single" w:color="D5DAD5" w:sz="2"/>
          <w:left w:val="none"/>
          <w:bottom w:val="single" w:color="D5DAD5" w:sz="2"/>
          <w:right w:val="none"/>
          <w:insideH w:val="single" w:color="E4E8E3" w:sz="1"/>
          <w:insideV w:val="none"/>
        </w:tblBorders>
      </w:tblPr>
      <w:tblGrid>
        <w:gridCol w:w="2300"/>
        <w:gridCol w:w="1800"/>
        <w:gridCol w:w="1900"/>
        <w:gridCol w:w="2000"/>
        <w:gridCol w:w="1360"/>
      </w:tblGrid>
      <w:tr>
        <w:trPr>
          <w:tblHeader/>
        </w:trPr>
        <w:tc>
          <w:tcPr>
            <w:tcW w:type="dxa" w:w="230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ตัวชี้วัด</w:t>
            </w:r>
          </w:p>
        </w:tc>
        <w:tc>
          <w:tcPr>
            <w:tcW w:type="dxa" w:w="180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ค่าล่าสุด</w:t>
            </w:r>
          </w:p>
        </w:tc>
        <w:tc>
          <w:tcPr>
            <w:tcW w:type="dxa" w:w="190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เกณฑ์ยืนยันมุมมอง</w:t>
            </w:r>
          </w:p>
        </w:tc>
        <w:tc>
          <w:tcPr>
            <w:tcW w:type="dxa" w:w="200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เกณฑ์ท้าทายมุมมอง</w:t>
            </w:r>
          </w:p>
        </w:tc>
        <w:tc>
          <w:tcPr>
            <w:tcW w:type="dxa" w:w="136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รอบ / แหล่ง</w:t>
            </w:r>
          </w:p>
        </w:tc>
      </w:tr>
      <w:tr>
        <w:tc>
          <w:tcPr>
            <w:tcW w:type="dxa" w:w="23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5"/>
                <w:szCs w:val="15"/>
              </w:rPr>
              <w:t xml:space="preserve">SSSG ร้านสะดวกซื้อ</w:t>
            </w:r>
          </w:p>
        </w:tc>
        <w:tc>
          <w:tcPr>
            <w:tcW w:type="dxa" w:w="18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0.8% (2Q26)</w:t>
            </w:r>
          </w:p>
        </w:tc>
        <w:tc>
          <w:tcPr>
            <w:tcW w:type="dxa" w:w="19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ยืนเหนือ 2% สองไตรมาสติด</w:t>
            </w:r>
          </w:p>
        </w:tc>
        <w:tc>
          <w:tcPr>
            <w:tcW w:type="dxa" w:w="20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ติดลบสองไตรมาสติด</w:t>
            </w:r>
          </w:p>
        </w:tc>
        <w:tc>
          <w:tcPr>
            <w:tcW w:type="dxa" w:w="13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ไตรมาส · MD&amp;A</w:t>
            </w:r>
          </w:p>
        </w:tc>
      </w:tr>
      <w:tr>
        <w:tc>
          <w:tcPr>
            <w:tcW w:type="dxa" w:w="23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5"/>
                <w:szCs w:val="15"/>
              </w:rPr>
              <w:t xml:space="preserve">ยอดขายต่อร้านต่อวัน</w:t>
            </w:r>
          </w:p>
        </w:tc>
        <w:tc>
          <w:tcPr>
            <w:tcW w:type="dxa" w:w="18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85,843 (2Q26)</w:t>
            </w:r>
          </w:p>
        </w:tc>
        <w:tc>
          <w:tcPr>
            <w:tcW w:type="dxa" w:w="19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โตเหนือเงินเฟ้อ</w:t>
            </w:r>
          </w:p>
        </w:tc>
        <w:tc>
          <w:tcPr>
            <w:tcW w:type="dxa" w:w="20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ลดลง YoY สองไตรมาสติด</w:t>
            </w:r>
          </w:p>
        </w:tc>
        <w:tc>
          <w:tcPr>
            <w:tcW w:type="dxa" w:w="136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ไตรมาส · MD&amp;A</w:t>
            </w:r>
          </w:p>
        </w:tc>
      </w:tr>
      <w:tr>
        <w:tc>
          <w:tcPr>
            <w:tcW w:type="dxa" w:w="23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5"/>
                <w:szCs w:val="15"/>
              </w:rPr>
              <w:t xml:space="preserve">อัตรากำไรขั้นต้นธุรกิจ CVS</w:t>
            </w:r>
          </w:p>
        </w:tc>
        <w:tc>
          <w:tcPr>
            <w:tcW w:type="dxa" w:w="18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29.3% (2Q26)</w:t>
            </w:r>
          </w:p>
        </w:tc>
        <w:tc>
          <w:tcPr>
            <w:tcW w:type="dxa" w:w="19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ขยับเกิน 29.5%</w:t>
            </w:r>
          </w:p>
        </w:tc>
        <w:tc>
          <w:tcPr>
            <w:tcW w:type="dxa" w:w="20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หลุด 29.0%</w:t>
            </w:r>
          </w:p>
        </w:tc>
        <w:tc>
          <w:tcPr>
            <w:tcW w:type="dxa" w:w="13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ไตรมาส · MD&amp;A</w:t>
            </w:r>
          </w:p>
        </w:tc>
      </w:tr>
      <w:tr>
        <w:tc>
          <w:tcPr>
            <w:tcW w:type="dxa" w:w="23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5"/>
                <w:szCs w:val="15"/>
              </w:rPr>
              <w:t xml:space="preserve">กำไรสุทธิส่วนบริษัทใหญ่ YoY</w:t>
            </w:r>
          </w:p>
        </w:tc>
        <w:tc>
          <w:tcPr>
            <w:tcW w:type="dxa" w:w="18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+11.0% (2Q26)</w:t>
            </w:r>
          </w:p>
        </w:tc>
        <w:tc>
          <w:tcPr>
            <w:tcW w:type="dxa" w:w="19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ยืนเหนือ 8%</w:t>
            </w:r>
          </w:p>
        </w:tc>
        <w:tc>
          <w:tcPr>
            <w:tcW w:type="dxa" w:w="20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ต่ำกว่า 5% สองไตรมาสติด</w:t>
            </w:r>
          </w:p>
        </w:tc>
        <w:tc>
          <w:tcPr>
            <w:tcW w:type="dxa" w:w="136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ไตรมาส · MD&amp;A</w:t>
            </w:r>
          </w:p>
        </w:tc>
      </w:tr>
      <w:tr>
        <w:tc>
          <w:tcPr>
            <w:tcW w:type="dxa" w:w="23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5"/>
                <w:szCs w:val="15"/>
              </w:rPr>
              <w:t xml:space="preserve">หนี้มีภาระดอกเบี้ย</w:t>
            </w:r>
          </w:p>
        </w:tc>
        <w:tc>
          <w:tcPr>
            <w:tcW w:type="dxa" w:w="18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319,574 (2Q26)</w:t>
            </w:r>
          </w:p>
        </w:tc>
        <w:tc>
          <w:tcPr>
            <w:tcW w:type="dxa" w:w="19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ลดต่ำกว่า 300,000</w:t>
            </w:r>
          </w:p>
        </w:tc>
        <w:tc>
          <w:tcPr>
            <w:tcW w:type="dxa" w:w="20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เพิ่มเกิน 340,000</w:t>
            </w:r>
          </w:p>
        </w:tc>
        <w:tc>
          <w:tcPr>
            <w:tcW w:type="dxa" w:w="13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ไตรมาส · MD&amp;A</w:t>
            </w:r>
          </w:p>
        </w:tc>
      </w:tr>
      <w:tr>
        <w:tc>
          <w:tcPr>
            <w:tcW w:type="dxa" w:w="23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5"/>
                <w:szCs w:val="15"/>
              </w:rPr>
              <w:t xml:space="preserve">กำไรสุทธิ CP AXTRA</w:t>
            </w:r>
          </w:p>
        </w:tc>
        <w:tc>
          <w:tcPr>
            <w:tcW w:type="dxa" w:w="18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9,356 (FY2025)</w:t>
            </w:r>
          </w:p>
        </w:tc>
        <w:tc>
          <w:tcPr>
            <w:tcW w:type="dxa" w:w="19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กลับมาโตเป็นบวก</w:t>
            </w:r>
          </w:p>
        </w:tc>
        <w:tc>
          <w:tcPr>
            <w:tcW w:type="dxa" w:w="20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ลดลงอีกปีพร้อมสัญญาณด้อยค่า</w:t>
            </w:r>
          </w:p>
        </w:tc>
        <w:tc>
          <w:tcPr>
            <w:tcW w:type="dxa" w:w="136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ไตรมาส · CPAXT</w:t>
            </w:r>
          </w:p>
        </w:tc>
      </w:tr>
      <w:tr>
        <w:tc>
          <w:tcPr>
            <w:tcW w:type="dxa" w:w="23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5"/>
                <w:szCs w:val="15"/>
              </w:rPr>
              <w:t xml:space="preserve">กระแสเงินสดจากดำเนินงาน</w:t>
            </w:r>
          </w:p>
        </w:tc>
        <w:tc>
          <w:tcPr>
            <w:tcW w:type="dxa" w:w="18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74,255 (FY2025)</w:t>
            </w:r>
          </w:p>
        </w:tc>
        <w:tc>
          <w:tcPr>
            <w:tcW w:type="dxa" w:w="19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กลับมาเพิ่ม</w:t>
            </w:r>
          </w:p>
        </w:tc>
        <w:tc>
          <w:tcPr>
            <w:tcW w:type="dxa" w:w="20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ต่ำกว่า 70,000</w:t>
            </w:r>
          </w:p>
        </w:tc>
        <w:tc>
          <w:tcPr>
            <w:tcW w:type="dxa" w:w="13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ปี · งบตรวจสอบ</w:t>
            </w:r>
          </w:p>
        </w:tc>
      </w:tr>
      <w:tr>
        <w:tc>
          <w:tcPr>
            <w:tcW w:type="dxa" w:w="23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5"/>
                <w:szCs w:val="15"/>
              </w:rPr>
              <w:t xml:space="preserve">เงินปันผลต่อหุ้น</w:t>
            </w:r>
          </w:p>
        </w:tc>
        <w:tc>
          <w:tcPr>
            <w:tcW w:type="dxa" w:w="18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1.65 บาท (จ่ายปี 2569)</w:t>
            </w:r>
          </w:p>
        </w:tc>
        <w:tc>
          <w:tcPr>
            <w:tcW w:type="dxa" w:w="19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เพิ่มขึ้นต่อเนื่อง</w:t>
            </w:r>
          </w:p>
        </w:tc>
        <w:tc>
          <w:tcPr>
            <w:tcW w:type="dxa" w:w="20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คงที่หรือลดลง</w:t>
            </w:r>
          </w:p>
        </w:tc>
        <w:tc>
          <w:tcPr>
            <w:tcW w:type="dxa" w:w="136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ปี · มติผู้ถือหุ้น</w:t>
            </w:r>
          </w:p>
        </w:tc>
      </w:tr>
      <w:tr>
        <w:tc>
          <w:tcPr>
            <w:tcW w:type="dxa" w:w="23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5"/>
                <w:szCs w:val="15"/>
              </w:rPr>
              <w:t xml:space="preserve">GDP และการบริโภคเอกชน</w:t>
            </w:r>
          </w:p>
        </w:tc>
        <w:tc>
          <w:tcPr>
            <w:tcW w:type="dxa" w:w="18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GDP +1.9% (2Q26)</w:t>
            </w:r>
          </w:p>
        </w:tc>
        <w:tc>
          <w:tcPr>
            <w:tcW w:type="dxa" w:w="19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เร่งขึ้นเหนือ 2.5%</w:t>
            </w:r>
          </w:p>
        </w:tc>
        <w:tc>
          <w:tcPr>
            <w:tcW w:type="dxa" w:w="20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ต่ำกว่า 1.5%</w:t>
            </w:r>
          </w:p>
        </w:tc>
        <w:tc>
          <w:tcPr>
            <w:tcW w:type="dxa" w:w="13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ไตรมาส · สภาพัฒน์</w:t>
            </w:r>
          </w:p>
        </w:tc>
      </w:tr>
      <w:tr>
        <w:tc>
          <w:tcPr>
            <w:tcW w:type="dxa" w:w="23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5"/>
                <w:szCs w:val="15"/>
              </w:rPr>
              <w:t xml:space="preserve">การเข้าร่วมมาตรการรัฐ</w:t>
            </w:r>
          </w:p>
        </w:tc>
        <w:tc>
          <w:tcPr>
            <w:tcW w:type="dxa" w:w="18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ไม่เข้าร่วมคนละครึ่ง</w:t>
            </w:r>
          </w:p>
        </w:tc>
        <w:tc>
          <w:tcPr>
            <w:tcW w:type="dxa" w:w="19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ได้เข้าร่วมรอบถัดไป</w:t>
            </w:r>
          </w:p>
        </w:tc>
        <w:tc>
          <w:tcPr>
            <w:tcW w:type="dxa" w:w="20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ถูกกันออกซ้ำ</w:t>
            </w:r>
          </w:p>
        </w:tc>
        <w:tc>
          <w:tcPr>
            <w:tcW w:type="dxa" w:w="136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ตามเหตุการณ์</w:t>
            </w:r>
          </w:p>
        </w:tc>
      </w:tr>
    </w:tbl>
    <w:p>
      <w:r>
        <w:br w:type="page"/>
      </w:r>
    </w:p>
    <w:p>
      <w:pPr>
        <w:pStyle w:val="Heading1"/>
        <w:spacing w:after="140" w:before="280"/>
      </w:pPr>
      <w:r>
        <w:rPr>
          <w:rFonts w:ascii="Tahoma" w:cs="Tahoma" w:eastAsia="Tahoma" w:hAnsi="Tahoma"/>
          <w:b/>
          <w:bCs/>
          <w:color w:val="0E5C4A"/>
          <w:sz w:val="28"/>
          <w:szCs w:val="28"/>
        </w:rPr>
        <w:t xml:space="preserve">8. ผลตรวจความสอดคล้องข้ามไฟล์</w:t>
      </w:r>
    </w:p>
    <w:p>
      <w:pPr>
        <w:spacing w:after="120" w:before="0" w:line="300"/>
      </w:pPr>
      <w:r>
        <w:rPr>
          <w:rFonts w:ascii="Tahoma" w:cs="Tahoma" w:eastAsia="Tahoma" w:hAnsi="Tahoma"/>
          <w:color w:val="1A1A1A"/>
          <w:sz w:val="20"/>
          <w:szCs w:val="20"/>
        </w:rPr>
        <w:t xml:space="preserve">ตรวจว่าตัวเลข งวดข้อมูล หน่วย สมมติฐาน และแหล่งอ้างอิงตรงกันในรายงานฉบับนี้ ไฟล์ Excel สไลด์นำเสนอ และกราฟทุกชุด ตารางเดียวกันนี้อยู่ในชีต 06_QA ของไฟล์ Excel พร้อมสูตรตรวจสด</w:t>
      </w:r>
    </w:p>
    <w:tbl>
      <w:tblPr>
        <w:tblW w:type="dxa" w:w="9360"/>
        <w:tblBorders>
          <w:top w:val="single" w:color="D5DAD5" w:sz="2"/>
          <w:left w:val="none"/>
          <w:bottom w:val="single" w:color="D5DAD5" w:sz="2"/>
          <w:right w:val="none"/>
          <w:insideH w:val="single" w:color="E4E8E3" w:sz="1"/>
          <w:insideV w:val="none"/>
        </w:tblBorders>
      </w:tblPr>
      <w:tblGrid>
        <w:gridCol w:w="500"/>
        <w:gridCol w:w="3700"/>
        <w:gridCol w:w="1100"/>
        <w:gridCol w:w="4060"/>
      </w:tblGrid>
      <w:tr>
        <w:trPr>
          <w:tblHeader/>
        </w:trPr>
        <w:tc>
          <w:tcPr>
            <w:tcW w:type="dxa" w:w="50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#</w:t>
            </w:r>
          </w:p>
        </w:tc>
        <w:tc>
          <w:tcPr>
            <w:tcW w:type="dxa" w:w="370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รายการที่ตรวจ</w:t>
            </w:r>
          </w:p>
        </w:tc>
        <w:tc>
          <w:tcPr>
            <w:tcW w:type="dxa" w:w="110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ผล</w:t>
            </w:r>
          </w:p>
        </w:tc>
        <w:tc>
          <w:tcPr>
            <w:tcW w:type="dxa" w:w="406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การแก้ไข / สิ่งที่ยังทำไม่ได้</w:t>
            </w:r>
          </w:p>
        </w:tc>
      </w:tr>
      <w:tr>
        <w:tc>
          <w:tcPr>
            <w:tcW w:type="dxa" w:w="5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color w:val="1A1A1A"/>
                <w:sz w:val="15"/>
                <w:szCs w:val="15"/>
              </w:rPr>
              <w:t xml:space="preserve">1</w:t>
            </w:r>
          </w:p>
        </w:tc>
        <w:tc>
          <w:tcPr>
            <w:tcW w:type="dxa" w:w="37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รายได้และกำไรสุทธิ FY2025 ตรงกันทุกไฟล์ (1,022,143 / 28,206)</w:t>
            </w:r>
          </w:p>
        </w:tc>
        <w:tc>
          <w:tcPr>
            <w:tcW w:type="dxa" w:w="11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2735C"/>
                <w:sz w:val="15"/>
                <w:szCs w:val="15"/>
              </w:rPr>
              <w:t xml:space="preserve">ผ่าน</w:t>
            </w:r>
          </w:p>
        </w:tc>
        <w:tc>
          <w:tcPr>
            <w:tcW w:type="dxa" w:w="40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—</w:t>
            </w:r>
          </w:p>
        </w:tc>
      </w:tr>
      <w:tr>
        <w:tc>
          <w:tcPr>
            <w:tcW w:type="dxa" w:w="5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color w:val="1A1A1A"/>
                <w:sz w:val="15"/>
                <w:szCs w:val="15"/>
              </w:rPr>
              <w:t xml:space="preserve">2</w:t>
            </w:r>
          </w:p>
        </w:tc>
        <w:tc>
          <w:tcPr>
            <w:tcW w:type="dxa" w:w="37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อัตรากำไรสุทธิและจำนวนหุ้นที่ใช้ใน Scenario ตรงกับข้อมูลจริง</w:t>
            </w:r>
          </w:p>
        </w:tc>
        <w:tc>
          <w:tcPr>
            <w:tcW w:type="dxa" w:w="11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2735C"/>
                <w:sz w:val="15"/>
                <w:szCs w:val="15"/>
              </w:rPr>
              <w:t xml:space="preserve">ผ่าน</w:t>
            </w:r>
          </w:p>
        </w:tc>
        <w:tc>
          <w:tcPr>
            <w:tcW w:type="dxa" w:w="406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—</w:t>
            </w:r>
          </w:p>
        </w:tc>
      </w:tr>
      <w:tr>
        <w:tc>
          <w:tcPr>
            <w:tcW w:type="dxa" w:w="5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color w:val="1A1A1A"/>
                <w:sz w:val="15"/>
                <w:szCs w:val="15"/>
              </w:rPr>
              <w:t xml:space="preserve">3</w:t>
            </w:r>
          </w:p>
        </w:tc>
        <w:tc>
          <w:tcPr>
            <w:tcW w:type="dxa" w:w="37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ราคาอ้างอิงตรงกันทุกไฟล์ (46.00 บาท ณ 3 ก.ย. 2026)</w:t>
            </w:r>
          </w:p>
        </w:tc>
        <w:tc>
          <w:tcPr>
            <w:tcW w:type="dxa" w:w="11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2735C"/>
                <w:sz w:val="15"/>
                <w:szCs w:val="15"/>
              </w:rPr>
              <w:t xml:space="preserve">ผ่าน</w:t>
            </w:r>
          </w:p>
        </w:tc>
        <w:tc>
          <w:tcPr>
            <w:tcW w:type="dxa" w:w="40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—</w:t>
            </w:r>
          </w:p>
        </w:tc>
      </w:tr>
      <w:tr>
        <w:tc>
          <w:tcPr>
            <w:tcW w:type="dxa" w:w="5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color w:val="1A1A1A"/>
                <w:sz w:val="15"/>
                <w:szCs w:val="15"/>
              </w:rPr>
              <w:t xml:space="preserve">4</w:t>
            </w:r>
          </w:p>
        </w:tc>
        <w:tc>
          <w:tcPr>
            <w:tcW w:type="dxa" w:w="37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หน่วยเป็นล้านบาททุกตาราง และระบุงวดในทุกกราฟ</w:t>
            </w:r>
          </w:p>
        </w:tc>
        <w:tc>
          <w:tcPr>
            <w:tcW w:type="dxa" w:w="11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2735C"/>
                <w:sz w:val="15"/>
                <w:szCs w:val="15"/>
              </w:rPr>
              <w:t xml:space="preserve">ผ่าน</w:t>
            </w:r>
          </w:p>
        </w:tc>
        <w:tc>
          <w:tcPr>
            <w:tcW w:type="dxa" w:w="406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ระบุหน่วยกำกับทุกแถวและหมายเหตุแหล่งใต้กราฟทุกชุด</w:t>
            </w:r>
          </w:p>
        </w:tc>
      </w:tr>
      <w:tr>
        <w:tc>
          <w:tcPr>
            <w:tcW w:type="dxa" w:w="5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color w:val="1A1A1A"/>
                <w:sz w:val="15"/>
                <w:szCs w:val="15"/>
              </w:rPr>
              <w:t xml:space="preserve">5</w:t>
            </w:r>
          </w:p>
        </w:tc>
        <w:tc>
          <w:tcPr>
            <w:tcW w:type="dxa" w:w="37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แยกข้อมูลจริงออกจากประมาณการ</w:t>
            </w:r>
          </w:p>
        </w:tc>
        <w:tc>
          <w:tcPr>
            <w:tcW w:type="dxa" w:w="11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2735C"/>
                <w:sz w:val="15"/>
                <w:szCs w:val="15"/>
              </w:rPr>
              <w:t xml:space="preserve">ผ่าน</w:t>
            </w:r>
          </w:p>
        </w:tc>
        <w:tc>
          <w:tcPr>
            <w:tcW w:type="dxa" w:w="40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ชีต 04 และบทที่ 6 มีแถบเตือนกำกับ</w:t>
            </w:r>
          </w:p>
        </w:tc>
      </w:tr>
      <w:tr>
        <w:tc>
          <w:tcPr>
            <w:tcW w:type="dxa" w:w="5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color w:val="1A1A1A"/>
                <w:sz w:val="15"/>
                <w:szCs w:val="15"/>
              </w:rPr>
              <w:t xml:space="preserve">6</w:t>
            </w:r>
          </w:p>
        </w:tc>
        <w:tc>
          <w:tcPr>
            <w:tcW w:type="dxa" w:w="37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กำไร CP AXTRA ปี 2568 เปลี่ยนแปลง</w:t>
            </w:r>
          </w:p>
        </w:tc>
        <w:tc>
          <w:tcPr>
            <w:tcW w:type="dxa" w:w="11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8A5A0C"/>
                <w:sz w:val="15"/>
                <w:szCs w:val="15"/>
              </w:rPr>
              <w:t xml:space="preserve">แก้แล้ว</w:t>
            </w:r>
          </w:p>
        </w:tc>
        <w:tc>
          <w:tcPr>
            <w:tcW w:type="dxa" w:w="406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แก้จาก −11.5% เป็น −13.7% ทุกไฟล์ · ฐานปี 2567 ที่ถูกต้องคือ 10,837 ล้านบาท (S8) ไม่ใช่ 10,569 จาก S13</w:t>
            </w:r>
          </w:p>
        </w:tc>
      </w:tr>
      <w:tr>
        <w:tc>
          <w:tcPr>
            <w:tcW w:type="dxa" w:w="5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color w:val="1A1A1A"/>
                <w:sz w:val="15"/>
                <w:szCs w:val="15"/>
              </w:rPr>
              <w:t xml:space="preserve">7</w:t>
            </w:r>
          </w:p>
        </w:tc>
        <w:tc>
          <w:tcPr>
            <w:tcW w:type="dxa" w:w="37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ฐานตัวหารของอัตรากำไรขั้นต้น</w:t>
            </w:r>
          </w:p>
        </w:tc>
        <w:tc>
          <w:tcPr>
            <w:tcW w:type="dxa" w:w="11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8A5A0C"/>
                <w:sz w:val="15"/>
                <w:szCs w:val="15"/>
              </w:rPr>
              <w:t xml:space="preserve">แก้แล้ว</w:t>
            </w:r>
          </w:p>
        </w:tc>
        <w:tc>
          <w:tcPr>
            <w:tcW w:type="dxa" w:w="40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พบว่าบริษัทหารด้วยรายได้จากการขายและบริการ ไม่ใช่รายได้รวม ต่างกันราว 0.6 จุด · แยกเป็นสองบรรทัดในชีต 02 และกราฟใช้ตัวเลขที่บริษัทรายงาน</w:t>
            </w:r>
          </w:p>
        </w:tc>
      </w:tr>
      <w:tr>
        <w:tc>
          <w:tcPr>
            <w:tcW w:type="dxa" w:w="5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color w:val="1A1A1A"/>
                <w:sz w:val="15"/>
                <w:szCs w:val="15"/>
              </w:rPr>
              <w:t xml:space="preserve">8</w:t>
            </w:r>
          </w:p>
        </w:tc>
        <w:tc>
          <w:tcPr>
            <w:tcW w:type="dxa" w:w="37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ข้ออ้างเรื่องการแย่งลูกค้ากันเอง</w:t>
            </w:r>
          </w:p>
        </w:tc>
        <w:tc>
          <w:tcPr>
            <w:tcW w:type="dxa" w:w="11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8A5A0C"/>
                <w:sz w:val="15"/>
                <w:szCs w:val="15"/>
              </w:rPr>
              <w:t xml:space="preserve">แก้แล้ว</w:t>
            </w:r>
          </w:p>
        </w:tc>
        <w:tc>
          <w:tcPr>
            <w:tcW w:type="dxa" w:w="406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ปี 2567 ผลิตภาพเพิ่ม 3.8% ก่อนลด 0.15% ในปี 2568 · แก้ข้อความเป็น "ผลิตภาพหยุดเพิ่ม"</w:t>
            </w:r>
          </w:p>
        </w:tc>
      </w:tr>
      <w:tr>
        <w:tc>
          <w:tcPr>
            <w:tcW w:type="dxa" w:w="5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color w:val="1A1A1A"/>
                <w:sz w:val="15"/>
                <w:szCs w:val="15"/>
              </w:rPr>
              <w:t xml:space="preserve">9</w:t>
            </w:r>
          </w:p>
        </w:tc>
        <w:tc>
          <w:tcPr>
            <w:tcW w:type="dxa" w:w="37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สาเหตุที่กำไรโตเร็วกว่ารายได้</w:t>
            </w:r>
          </w:p>
        </w:tc>
        <w:tc>
          <w:tcPr>
            <w:tcW w:type="dxa" w:w="11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8A5A0C"/>
                <w:sz w:val="15"/>
                <w:szCs w:val="15"/>
              </w:rPr>
              <w:t xml:space="preserve">แก้แล้ว</w:t>
            </w:r>
          </w:p>
        </w:tc>
        <w:tc>
          <w:tcPr>
            <w:tcW w:type="dxa" w:w="40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ถอดคำว่า "มาจากมาร์จิ้นเป็นหลัก" ออก เพราะยังไม่ได้อ่านหัวข้อ Non-recurring Items ใน S4</w:t>
            </w:r>
          </w:p>
        </w:tc>
      </w:tr>
      <w:tr>
        <w:tc>
          <w:tcPr>
            <w:tcW w:type="dxa" w:w="5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color w:val="1A1A1A"/>
                <w:sz w:val="15"/>
                <w:szCs w:val="15"/>
              </w:rPr>
              <w:t xml:space="preserve">10</w:t>
            </w:r>
          </w:p>
        </w:tc>
        <w:tc>
          <w:tcPr>
            <w:tcW w:type="dxa" w:w="37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ตัวเลขงบดุล (ส่วนทุน ค่าความนิยม NCI)</w:t>
            </w:r>
          </w:p>
        </w:tc>
        <w:tc>
          <w:tcPr>
            <w:tcW w:type="dxa" w:w="11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8C2F22"/>
                <w:sz w:val="15"/>
                <w:szCs w:val="15"/>
              </w:rPr>
              <w:t xml:space="preserve">ยังทำไม่ได้</w:t>
            </w:r>
          </w:p>
        </w:tc>
        <w:tc>
          <w:tcPr>
            <w:tcW w:type="dxa" w:w="406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ยังยืนยันไม่ได้ · ตัดออกจากทุกไฟล์แล้ว ต้องเปิด S6 หน้า 447+ ด้วยตา</w:t>
            </w:r>
          </w:p>
        </w:tc>
      </w:tr>
      <w:tr>
        <w:tc>
          <w:tcPr>
            <w:tcW w:type="dxa" w:w="5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color w:val="1A1A1A"/>
                <w:sz w:val="15"/>
                <w:szCs w:val="15"/>
              </w:rPr>
              <w:t xml:space="preserve">11</w:t>
            </w:r>
          </w:p>
        </w:tc>
        <w:tc>
          <w:tcPr>
            <w:tcW w:type="dxa" w:w="37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กระแสเงินสด CFO / CAPEX / เงินปันผลจ่าย</w:t>
            </w:r>
          </w:p>
        </w:tc>
        <w:tc>
          <w:tcPr>
            <w:tcW w:type="dxa" w:w="11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8C2F22"/>
                <w:sz w:val="15"/>
                <w:szCs w:val="15"/>
              </w:rPr>
              <w:t xml:space="preserve">ยังทำไม่ได้</w:t>
            </w:r>
          </w:p>
        </w:tc>
        <w:tc>
          <w:tcPr>
            <w:tcW w:type="dxa" w:w="40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มาจาก S13 (บุคคลที่สาม) · คงไว้พร้อมป้ายเตือนในชีต 03 กราฟชุดที่ 3 และบทที่ 3.3</w:t>
            </w:r>
          </w:p>
        </w:tc>
      </w:tr>
      <w:tr>
        <w:tc>
          <w:tcPr>
            <w:tcW w:type="dxa" w:w="5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color w:val="1A1A1A"/>
                <w:sz w:val="15"/>
                <w:szCs w:val="15"/>
              </w:rPr>
              <w:t xml:space="preserve">12</w:t>
            </w:r>
          </w:p>
        </w:tc>
        <w:tc>
          <w:tcPr>
            <w:tcW w:type="dxa" w:w="37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SSSG ปี 2568</w:t>
            </w:r>
          </w:p>
        </w:tc>
        <w:tc>
          <w:tcPr>
            <w:tcW w:type="dxa" w:w="11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8C2F22"/>
                <w:sz w:val="15"/>
                <w:szCs w:val="15"/>
              </w:rPr>
              <w:t xml:space="preserve">ยังทำไม่ได้</w:t>
            </w:r>
          </w:p>
        </w:tc>
        <w:tc>
          <w:tcPr>
            <w:tcW w:type="dxa" w:w="406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บริษัทไม่เปิดตัวเลข · คงไว้เป็น n/d ทุกไฟล์ ไม่แทนด้วยศูนย์หรือค่าประมาณ</w:t>
            </w:r>
          </w:p>
        </w:tc>
      </w:tr>
    </w:tbl>
    <w:p>
      <w:pPr>
        <w:pStyle w:val="Heading1"/>
        <w:spacing w:after="140" w:before="280"/>
      </w:pPr>
      <w:r>
        <w:rPr>
          <w:rFonts w:ascii="Tahoma" w:cs="Tahoma" w:eastAsia="Tahoma" w:hAnsi="Tahoma"/>
          <w:b/>
          <w:bCs/>
          <w:color w:val="0E5C4A"/>
          <w:sz w:val="28"/>
          <w:szCs w:val="28"/>
        </w:rPr>
        <w:t xml:space="preserve">9. ตารางแหล่งข้อมูล</w:t>
      </w:r>
    </w:p>
    <w:p>
      <w:pPr>
        <w:spacing w:after="120" w:before="0" w:line="300"/>
      </w:pPr>
      <w:r>
        <w:rPr>
          <w:rFonts w:ascii="Tahoma" w:cs="Tahoma" w:eastAsia="Tahoma" w:hAnsi="Tahoma"/>
          <w:color w:val="1A1A1A"/>
          <w:sz w:val="20"/>
          <w:szCs w:val="20"/>
        </w:rPr>
        <w:t xml:space="preserve">รหัส S1–S13 ใช้ร่วมกันในรายงานฉบับนี้ ไฟล์ Excel และสไลด์นำเสนอ ทุกลิงก์เข้าถึงเมื่อ 9 กันยายน 2026</w:t>
      </w:r>
    </w:p>
    <w:tbl>
      <w:tblPr>
        <w:tblW w:type="dxa" w:w="9360"/>
        <w:tblBorders>
          <w:top w:val="single" w:color="D5DAD5" w:sz="2"/>
          <w:left w:val="none"/>
          <w:bottom w:val="single" w:color="D5DAD5" w:sz="2"/>
          <w:right w:val="none"/>
          <w:insideH w:val="single" w:color="E4E8E3" w:sz="1"/>
          <w:insideV w:val="none"/>
        </w:tblBorders>
      </w:tblPr>
      <w:tblGrid>
        <w:gridCol w:w="560"/>
        <w:gridCol w:w="2400"/>
        <w:gridCol w:w="1900"/>
        <w:gridCol w:w="1300"/>
        <w:gridCol w:w="1500"/>
        <w:gridCol w:w="1700"/>
      </w:tblGrid>
      <w:tr>
        <w:trPr>
          <w:tblHeader/>
        </w:trPr>
        <w:tc>
          <w:tcPr>
            <w:tcW w:type="dxa" w:w="56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รหัส</w:t>
            </w:r>
          </w:p>
        </w:tc>
        <w:tc>
          <w:tcPr>
            <w:tcW w:type="dxa" w:w="240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เอกสาร</w:t>
            </w:r>
          </w:p>
        </w:tc>
        <w:tc>
          <w:tcPr>
            <w:tcW w:type="dxa" w:w="190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หน่วยงาน</w:t>
            </w:r>
          </w:p>
        </w:tc>
        <w:tc>
          <w:tcPr>
            <w:tcW w:type="dxa" w:w="130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วันที่เผยแพร่</w:t>
            </w:r>
          </w:p>
        </w:tc>
        <w:tc>
          <w:tcPr>
            <w:tcW w:type="dxa" w:w="150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งวดข้อมูล</w:t>
            </w:r>
          </w:p>
        </w:tc>
        <w:tc>
          <w:tcPr>
            <w:tcW w:type="dxa" w:w="1700"/>
            <w:shd w:fill="0E5C4A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  <w:jc w:val="center"/>
            </w:pPr>
            <w:r>
              <w:rPr>
                <w:rFonts w:ascii="Tahoma" w:cs="Tahoma" w:eastAsia="Tahoma" w:hAnsi="Tahoma"/>
                <w:b/>
                <w:bCs/>
                <w:color w:val="FFFFFF"/>
                <w:sz w:val="16"/>
                <w:szCs w:val="16"/>
              </w:rPr>
              <w:t xml:space="preserve">สถานะ</w:t>
            </w:r>
          </w:p>
        </w:tc>
      </w:tr>
      <w:tr>
        <w:tc>
          <w:tcPr>
            <w:tcW w:type="dxa" w:w="5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5"/>
                <w:szCs w:val="15"/>
              </w:rPr>
              <w:t xml:space="preserve">S1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MD&amp;A ไตรมาส 2/2569</w:t>
            </w:r>
          </w:p>
        </w:tc>
        <w:tc>
          <w:tcPr>
            <w:tcW w:type="dxa" w:w="19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CP ALL PCL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13 ส.ค. 2026</w:t>
            </w:r>
          </w:p>
        </w:tc>
        <w:tc>
          <w:tcPr>
            <w:tcW w:type="dxa" w:w="15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2Q26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ทางการ</w:t>
            </w:r>
          </w:p>
        </w:tc>
      </w:tr>
      <w:tr>
        <w:tc>
          <w:tcPr>
            <w:tcW w:type="dxa" w:w="56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5"/>
                <w:szCs w:val="15"/>
              </w:rPr>
              <w:t xml:space="preserve">S2</w:t>
            </w:r>
          </w:p>
        </w:tc>
        <w:tc>
          <w:tcPr>
            <w:tcW w:type="dxa" w:w="24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MD&amp;A ไตรมาส 1/2569</w:t>
            </w:r>
          </w:p>
        </w:tc>
        <w:tc>
          <w:tcPr>
            <w:tcW w:type="dxa" w:w="19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CP ALL PCL</w:t>
            </w:r>
          </w:p>
        </w:tc>
        <w:tc>
          <w:tcPr>
            <w:tcW w:type="dxa" w:w="13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พ.ค. 2026</w:t>
            </w:r>
          </w:p>
        </w:tc>
        <w:tc>
          <w:tcPr>
            <w:tcW w:type="dxa" w:w="15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1Q26</w:t>
            </w:r>
          </w:p>
        </w:tc>
        <w:tc>
          <w:tcPr>
            <w:tcW w:type="dxa" w:w="17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ทางการ</w:t>
            </w:r>
          </w:p>
        </w:tc>
      </w:tr>
      <w:tr>
        <w:tc>
          <w:tcPr>
            <w:tcW w:type="dxa" w:w="5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5"/>
                <w:szCs w:val="15"/>
              </w:rPr>
              <w:t xml:space="preserve">S3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MD&amp;A ประจำปี 2568</w:t>
            </w:r>
          </w:p>
        </w:tc>
        <w:tc>
          <w:tcPr>
            <w:tcW w:type="dxa" w:w="19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CP ALL PCL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25 ก.พ. 2026</w:t>
            </w:r>
          </w:p>
        </w:tc>
        <w:tc>
          <w:tcPr>
            <w:tcW w:type="dxa" w:w="15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FY2025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ทางการ</w:t>
            </w:r>
          </w:p>
        </w:tc>
      </w:tr>
      <w:tr>
        <w:tc>
          <w:tcPr>
            <w:tcW w:type="dxa" w:w="56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5"/>
                <w:szCs w:val="15"/>
              </w:rPr>
              <w:t xml:space="preserve">S4</w:t>
            </w:r>
          </w:p>
        </w:tc>
        <w:tc>
          <w:tcPr>
            <w:tcW w:type="dxa" w:w="24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MD&amp;A ประจำปี 2567</w:t>
            </w:r>
          </w:p>
        </w:tc>
        <w:tc>
          <w:tcPr>
            <w:tcW w:type="dxa" w:w="19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CP ALL PCL</w:t>
            </w:r>
          </w:p>
        </w:tc>
        <w:tc>
          <w:tcPr>
            <w:tcW w:type="dxa" w:w="13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25 ก.พ. 2025</w:t>
            </w:r>
          </w:p>
        </w:tc>
        <w:tc>
          <w:tcPr>
            <w:tcW w:type="dxa" w:w="15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FY2024</w:t>
            </w:r>
          </w:p>
        </w:tc>
        <w:tc>
          <w:tcPr>
            <w:tcW w:type="dxa" w:w="17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ทางการ</w:t>
            </w:r>
          </w:p>
        </w:tc>
      </w:tr>
      <w:tr>
        <w:tc>
          <w:tcPr>
            <w:tcW w:type="dxa" w:w="5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5"/>
                <w:szCs w:val="15"/>
              </w:rPr>
              <w:t xml:space="preserve">S5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MD&amp;A ประจำปี 2566</w:t>
            </w:r>
          </w:p>
        </w:tc>
        <w:tc>
          <w:tcPr>
            <w:tcW w:type="dxa" w:w="19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CP ALL PCL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23 ก.พ. 2024</w:t>
            </w:r>
          </w:p>
        </w:tc>
        <w:tc>
          <w:tcPr>
            <w:tcW w:type="dxa" w:w="15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FY2023 · เทียบ FY2022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ทางการ</w:t>
            </w:r>
          </w:p>
        </w:tc>
      </w:tr>
      <w:tr>
        <w:tc>
          <w:tcPr>
            <w:tcW w:type="dxa" w:w="56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5"/>
                <w:szCs w:val="15"/>
              </w:rPr>
              <w:t xml:space="preserve">S6</w:t>
            </w:r>
          </w:p>
        </w:tc>
        <w:tc>
          <w:tcPr>
            <w:tcW w:type="dxa" w:w="24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แบบ 56-1 One Report ปี 2568</w:t>
            </w:r>
          </w:p>
        </w:tc>
        <w:tc>
          <w:tcPr>
            <w:tcW w:type="dxa" w:w="19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CP ALL PCL / ก.ล.ต. / SET</w:t>
            </w:r>
          </w:p>
        </w:tc>
        <w:tc>
          <w:tcPr>
            <w:tcW w:type="dxa" w:w="13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มี.ค. 2026</w:t>
            </w:r>
          </w:p>
        </w:tc>
        <w:tc>
          <w:tcPr>
            <w:tcW w:type="dxa" w:w="15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FY2025</w:t>
            </w:r>
          </w:p>
        </w:tc>
        <w:tc>
          <w:tcPr>
            <w:tcW w:type="dxa" w:w="17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ทางการ · งบการเงินหน้า 447+ ยังเปิดไม่ได้</w:t>
            </w:r>
          </w:p>
        </w:tc>
      </w:tr>
      <w:tr>
        <w:tc>
          <w:tcPr>
            <w:tcW w:type="dxa" w:w="5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5"/>
                <w:szCs w:val="15"/>
              </w:rPr>
              <w:t xml:space="preserve">S7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ข่าวเผยแพร่ผลประกอบการปี 2568</w:t>
            </w:r>
          </w:p>
        </w:tc>
        <w:tc>
          <w:tcPr>
            <w:tcW w:type="dxa" w:w="19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CP AXTRA PCL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23 ก.พ. 2026</w:t>
            </w:r>
          </w:p>
        </w:tc>
        <w:tc>
          <w:tcPr>
            <w:tcW w:type="dxa" w:w="15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FY2025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ทางการ</w:t>
            </w:r>
          </w:p>
        </w:tc>
      </w:tr>
      <w:tr>
        <w:tc>
          <w:tcPr>
            <w:tcW w:type="dxa" w:w="56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5"/>
                <w:szCs w:val="15"/>
              </w:rPr>
              <w:t xml:space="preserve">S8</w:t>
            </w:r>
          </w:p>
        </w:tc>
        <w:tc>
          <w:tcPr>
            <w:tcW w:type="dxa" w:w="24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ข่าวเผยแพร่ผลประกอบการปี 2567</w:t>
            </w:r>
          </w:p>
        </w:tc>
        <w:tc>
          <w:tcPr>
            <w:tcW w:type="dxa" w:w="19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CP AXTRA PCL</w:t>
            </w:r>
          </w:p>
        </w:tc>
        <w:tc>
          <w:tcPr>
            <w:tcW w:type="dxa" w:w="13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19 ก.พ. 2025</w:t>
            </w:r>
          </w:p>
        </w:tc>
        <w:tc>
          <w:tcPr>
            <w:tcW w:type="dxa" w:w="15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FY2024</w:t>
            </w:r>
          </w:p>
        </w:tc>
        <w:tc>
          <w:tcPr>
            <w:tcW w:type="dxa" w:w="17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ทางการ</w:t>
            </w:r>
          </w:p>
        </w:tc>
      </w:tr>
      <w:tr>
        <w:tc>
          <w:tcPr>
            <w:tcW w:type="dxa" w:w="5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5"/>
                <w:szCs w:val="15"/>
              </w:rPr>
              <w:t xml:space="preserve">S9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CPALL Factsheet (ราคาปิด 46.00 บาท)</w:t>
            </w:r>
          </w:p>
        </w:tc>
        <w:tc>
          <w:tcPr>
            <w:tcW w:type="dxa" w:w="19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ตลาดหลักทรัพย์แห่งประเทศไทย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3 ก.ย. 2026</w:t>
            </w:r>
          </w:p>
        </w:tc>
        <w:tc>
          <w:tcPr>
            <w:tcW w:type="dxa" w:w="15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ราคา ณ วันดังกล่าว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ทางการ</w:t>
            </w:r>
          </w:p>
        </w:tc>
      </w:tr>
      <w:tr>
        <w:tc>
          <w:tcPr>
            <w:tcW w:type="dxa" w:w="56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5"/>
                <w:szCs w:val="15"/>
              </w:rPr>
              <w:t xml:space="preserve">S10</w:t>
            </w:r>
          </w:p>
        </w:tc>
        <w:tc>
          <w:tcPr>
            <w:tcW w:type="dxa" w:w="24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Analyst Consensus</w:t>
            </w:r>
          </w:p>
        </w:tc>
        <w:tc>
          <w:tcPr>
            <w:tcW w:type="dxa" w:w="19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SETTRADE</w:t>
            </w:r>
          </w:p>
        </w:tc>
        <w:tc>
          <w:tcPr>
            <w:tcW w:type="dxa" w:w="13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8 ก.ย. 2026</w:t>
            </w:r>
          </w:p>
        </w:tc>
        <w:tc>
          <w:tcPr>
            <w:tcW w:type="dxa" w:w="15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ประมาณการปี 2026</w:t>
            </w:r>
          </w:p>
        </w:tc>
        <w:tc>
          <w:tcPr>
            <w:tcW w:type="dxa" w:w="17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ทางการ</w:t>
            </w:r>
          </w:p>
        </w:tc>
      </w:tr>
      <w:tr>
        <w:tc>
          <w:tcPr>
            <w:tcW w:type="dxa" w:w="5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5"/>
                <w:szCs w:val="15"/>
              </w:rPr>
              <w:t xml:space="preserve">S11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Industry Outlook 2026–2028: Modern Trade</w:t>
            </w:r>
          </w:p>
        </w:tc>
        <w:tc>
          <w:tcPr>
            <w:tcW w:type="dxa" w:w="19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Krungsri Research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30 เม.ย. 2026</w:t>
            </w:r>
          </w:p>
        </w:tc>
        <w:tc>
          <w:tcPr>
            <w:tcW w:type="dxa" w:w="15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2026–2028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บทวิเคราะห์สถาบัน</w:t>
            </w:r>
          </w:p>
        </w:tc>
      </w:tr>
      <w:tr>
        <w:tc>
          <w:tcPr>
            <w:tcW w:type="dxa" w:w="56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5"/>
                <w:szCs w:val="15"/>
              </w:rPr>
              <w:t xml:space="preserve">S12</w:t>
            </w:r>
          </w:p>
        </w:tc>
        <w:tc>
          <w:tcPr>
            <w:tcW w:type="dxa" w:w="24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ภาวะเศรษฐกิจไทยไตรมาส 2/2569</w:t>
            </w:r>
          </w:p>
        </w:tc>
        <w:tc>
          <w:tcPr>
            <w:tcW w:type="dxa" w:w="19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สภาพัฒน์ (NESDC)</w:t>
            </w:r>
          </w:p>
        </w:tc>
        <w:tc>
          <w:tcPr>
            <w:tcW w:type="dxa" w:w="13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17 ส.ค. 2026</w:t>
            </w:r>
          </w:p>
        </w:tc>
        <w:tc>
          <w:tcPr>
            <w:tcW w:type="dxa" w:w="15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2Q26 · คาดการณ์ปี 2026</w:t>
            </w:r>
          </w:p>
        </w:tc>
        <w:tc>
          <w:tcPr>
            <w:tcW w:type="dxa" w:w="1700"/>
            <w:shd w:fill="F2F5F2" w:color="auto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ทางการ</w:t>
            </w:r>
          </w:p>
        </w:tc>
      </w:tr>
      <w:tr>
        <w:tc>
          <w:tcPr>
            <w:tcW w:type="dxa" w:w="56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/>
                <w:bCs/>
                <w:color w:val="1A1A1A"/>
                <w:sz w:val="15"/>
                <w:szCs w:val="15"/>
              </w:rPr>
              <w:t xml:space="preserve">S13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งบกระแสเงินสดรวบรวม</w:t>
            </w:r>
          </w:p>
        </w:tc>
        <w:tc>
          <w:tcPr>
            <w:tcW w:type="dxa" w:w="19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stockanalysis.com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ดึง 9 ก.ย. 2026</w:t>
            </w:r>
          </w:p>
        </w:tc>
        <w:tc>
          <w:tcPr>
            <w:tcW w:type="dxa" w:w="15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FY2021–FY2025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0" w:line="260"/>
            </w:pPr>
            <w:r>
              <w:rPr>
                <w:rFonts w:ascii="Tahoma" w:cs="Tahoma" w:eastAsia="Tahoma" w:hAnsi="Tahoma"/>
                <w:b w:val="false"/>
                <w:bCs w:val="false"/>
                <w:color w:val="1A1A1A"/>
                <w:sz w:val="15"/>
                <w:szCs w:val="15"/>
              </w:rPr>
              <w:t xml:space="preserve">ทุติยภูมิ · ตกการตรวจสอบ ใช้พร้อมคำเตือน</w:t>
            </w:r>
          </w:p>
        </w:tc>
      </w:tr>
    </w:tbl>
    <w:p>
      <w:pPr>
        <w:spacing w:after="200" w:before="60"/>
      </w:pPr>
      <w:r>
        <w:rPr>
          <w:rFonts w:ascii="Tahoma" w:cs="Tahoma" w:eastAsia="Tahoma" w:hAnsi="Tahoma"/>
          <w:i/>
          <w:iCs/>
          <w:color w:val="5C6560"/>
          <w:sz w:val="15"/>
          <w:szCs w:val="15"/>
        </w:rPr>
        <w:t xml:space="preserve">ลิงก์ต้นฉบับเต็มของทุกแหล่งอยู่ในชีต 00_อ่านก่อน ของไฟล์ CPALL_Financial_Model.xlsx</w:t>
      </w:r>
    </w:p>
    <w:p>
      <w:pPr>
        <w:pStyle w:val="Heading1"/>
        <w:spacing w:after="140" w:before="280"/>
      </w:pPr>
      <w:r>
        <w:rPr>
          <w:rFonts w:ascii="Tahoma" w:cs="Tahoma" w:eastAsia="Tahoma" w:hAnsi="Tahoma"/>
          <w:b/>
          <w:bCs/>
          <w:color w:val="0E5C4A"/>
          <w:sz w:val="28"/>
          <w:szCs w:val="28"/>
        </w:rPr>
        <w:t xml:space="preserve">10. ข้อมูลที่ยังขาด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Tahoma" w:cs="Tahoma" w:eastAsia="Tahoma" w:hAnsi="Tahoma"/>
          <w:color w:val="1A1A1A"/>
          <w:sz w:val="20"/>
          <w:szCs w:val="20"/>
        </w:rPr>
        <w:t xml:space="preserve">งบกระแสเงินสดฉบับเต็มจากงบตรวจสอบ — ตัวเลข CFO และ CAPEX ทั้งหมดในรายงานนี้มาจากผู้รวบรวมบุคคลที่สาม หากตัวเลขจริงต่างออกไป ข้อสรุปเรื่องคุณภาพกำไรในบท 3.3 ต้องเขียนใหม่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Tahoma" w:cs="Tahoma" w:eastAsia="Tahoma" w:hAnsi="Tahoma"/>
          <w:color w:val="1A1A1A"/>
          <w:sz w:val="20"/>
          <w:szCs w:val="20"/>
        </w:rPr>
        <w:t xml:space="preserve">งบแสดงฐานะการเงินรวมฉบับทางการ — ทำให้ยังประเมินขนาดของค่าความนิยม ส่วนได้เสียที่ไม่มีอำนาจควบคุม และภาระหนี้เมื่อมองจากมุมผู้ถือหุ้น CPALL ไม่ได้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Tahoma" w:cs="Tahoma" w:eastAsia="Tahoma" w:hAnsi="Tahoma"/>
          <w:color w:val="1A1A1A"/>
          <w:sz w:val="20"/>
          <w:szCs w:val="20"/>
        </w:rPr>
        <w:t xml:space="preserve">หมายเหตุประกอบงบไตรมาส 2/2569 — ไฟล์เป็น PDF สแกน จึงยังยืนยันไม่ได้ว่าไม่มีการปรับปรุงงบย้อนหลัง ไม่มีคดีความสำคัญ และภาระผูกพันนอกงบดุลอยู่ระดับใด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Tahoma" w:cs="Tahoma" w:eastAsia="Tahoma" w:hAnsi="Tahoma"/>
          <w:color w:val="1A1A1A"/>
          <w:sz w:val="20"/>
          <w:szCs w:val="20"/>
        </w:rPr>
        <w:t xml:space="preserve">ตารางครบกำหนดหุ้นกู้และต้นทุนดอกเบี้ยเฉลี่ย — เป็นตัวแปรตรงของกำไรในกรอบ 5 ปีบนฐานหนี้ 3.2 แสนล้านบาท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Tahoma" w:cs="Tahoma" w:eastAsia="Tahoma" w:hAnsi="Tahoma"/>
          <w:color w:val="1A1A1A"/>
          <w:sz w:val="20"/>
          <w:szCs w:val="20"/>
        </w:rPr>
        <w:t xml:space="preserve">หัวข้อ Non-recurring Items and Other Income ใน MD&amp;A ปี 2567 — เป็นกุญแจของการอธิบายว่าทำไมกำไรก่อนภาษีโต 35.7% ขณะกำไรขั้นต้นโตเพียง 10.3%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Tahoma" w:cs="Tahoma" w:eastAsia="Tahoma" w:hAnsi="Tahoma"/>
          <w:color w:val="1A1A1A"/>
          <w:sz w:val="20"/>
          <w:szCs w:val="20"/>
        </w:rPr>
        <w:t xml:space="preserve">โครงสร้างส่วนแบ่งรายได้กับคู่ค้า SBP ซึ่งคิดเป็น 48% ของสาขาทั้งหมด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Tahoma" w:cs="Tahoma" w:eastAsia="Tahoma" w:hAnsi="Tahoma"/>
          <w:color w:val="1A1A1A"/>
          <w:sz w:val="20"/>
          <w:szCs w:val="20"/>
        </w:rPr>
        <w:t xml:space="preserve">ข้อมูลเปรียบเทียบคู่แข่ง (CRC, BJC) สำหรับเทียบอัตรากำไรและการประเมินมูลค่า</w:t>
      </w:r>
    </w:p>
    <w:p>
      <w:pPr>
        <w:pBdr>
          <w:bottom w:val="single" w:color="0E5C4A" w:sz="6"/>
        </w:pBdr>
        <w:spacing w:after="160" w:before="60"/>
      </w:pPr>
    </w:p>
    <w:p>
      <w:pPr>
        <w:spacing w:after="120" w:before="0" w:line="300"/>
      </w:pPr>
      <w:r>
        <w:rPr>
          <w:rFonts w:ascii="Tahoma" w:cs="Tahoma" w:eastAsia="Tahoma" w:hAnsi="Tahoma"/>
          <w:color w:val="5C6560"/>
          <w:sz w:val="15"/>
          <w:szCs w:val="15"/>
        </w:rPr>
        <w:t xml:space="preserve">จัดทำ 9 กันยายน 2569 (2026) จากข้อมูลสาธารณะ · เอกสารนี้ไม่ใช่คำแนะนำการลงทุน ไม่ได้จัดทำโดยผู้ได้รับใบอนุญาต และไม่ควรใช้แทนการอ่านเอกสารต้นฉบับหรือการปรึกษาผู้ให้คำแนะนำที่ได้รับใบอนุญาต</w:t>
      </w:r>
    </w:p>
    <w:sectPr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00" w:hanging="22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ahoma" w:cs="Tahoma" w:eastAsia="Tahoma" w:hAnsi="Tahoma"/>
        <w:color w:val="1A1A1A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2026-09-09T05:59:33.486Z</dcterms:created>
  <dcterms:modified xsi:type="dcterms:W3CDTF">2026-09-09T05:59:33.499Z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