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spacing w:before="280" w:after="80"/>
      </w:pPr>
      <w:r>
        <w:rPr>
          <w:rFonts w:ascii="Sarabun" w:hAnsi="Sarabun" w:eastAsia="Sarabun" w:cs="Sarabun"/>
          <w:b/>
          <w:bCs/>
          <w:color w:val="17324D"/>
          <w:sz w:val="50"/>
          <w:cs/>
        </w:rPr>
        <w:t>EXECUTIVE SUMMARY</w:t>
      </w:r>
    </w:p>
    <w:p>
      <w:pPr>
        <w:widowControl/>
        <w:spacing w:after="280"/>
      </w:pPr>
      <w:r>
        <w:rPr>
          <w:rFonts w:ascii="Sarabun" w:hAnsi="Sarabun" w:eastAsia="Sarabun" w:cs="Sarabun"/>
          <w:color w:val="5F6B76"/>
          <w:sz w:val="28"/>
          <w:cs/>
        </w:rPr>
        <w:t>Half Year Business Review — มกราคม–มิถุนายน 2026</w:t>
      </w:r>
    </w:p>
    <w:p>
      <w:pPr>
        <w:widowControl/>
        <w:spacing w:after="40"/>
      </w:pPr>
      <w:r>
        <w:rPr>
          <w:rFonts w:ascii="Sarabun" w:hAnsi="Sarabun" w:eastAsia="Sarabun" w:cs="Sarabun"/>
          <w:b/>
          <w:bCs/>
          <w:cs/>
        </w:rPr>
        <w:t xml:space="preserve">To: </w:t>
      </w:r>
      <w:r>
        <w:rPr>
          <w:rFonts w:ascii="Sarabun" w:hAnsi="Sarabun" w:eastAsia="Sarabun" w:cs="Sarabun"/>
          <w:cs/>
        </w:rPr>
        <w:t>คณะผู้บริหาร Morning Bake</w:t>
      </w:r>
    </w:p>
    <w:p>
      <w:pPr>
        <w:widowControl/>
        <w:spacing w:after="40"/>
      </w:pPr>
      <w:r>
        <w:rPr>
          <w:rFonts w:ascii="Sarabun" w:hAnsi="Sarabun" w:eastAsia="Sarabun" w:cs="Sarabun"/>
          <w:b/>
          <w:bCs/>
          <w:cs/>
        </w:rPr>
        <w:t xml:space="preserve">Date: </w:t>
      </w:r>
      <w:r>
        <w:rPr>
          <w:rFonts w:ascii="Sarabun" w:hAnsi="Sarabun" w:eastAsia="Sarabun" w:cs="Sarabun"/>
          <w:cs/>
        </w:rPr>
        <w:t>1 กันยายน 2026</w:t>
      </w:r>
    </w:p>
    <w:p>
      <w:pPr>
        <w:widowControl/>
        <w:spacing w:after="40"/>
      </w:pPr>
      <w:r>
        <w:rPr>
          <w:rFonts w:ascii="Sarabun" w:hAnsi="Sarabun" w:eastAsia="Sarabun" w:cs="Sarabun"/>
          <w:b/>
          <w:bCs/>
          <w:cs/>
        </w:rPr>
        <w:t xml:space="preserve">Status: </w:t>
      </w:r>
      <w:r>
        <w:rPr>
          <w:rFonts w:ascii="Sarabun" w:hAnsi="Sarabun" w:eastAsia="Sarabun" w:cs="Sarabun"/>
          <w:cs/>
        </w:rPr>
        <w:t>พร้อมใช้เพื่อการหารือ; มี 5 ประเด็นที่ต้องยืนยันก่อนอนุมัติงบจริง</w:t>
      </w:r>
    </w:p>
    <w:tbl>
      <w:tblPr>
        <w:tblW w:type="dxa" w:w="9360"/>
        <w:tblLayout w:type="fixed"/>
        <w:tblLook w:firstColumn="1" w:firstRow="1" w:lastColumn="0" w:lastRow="0" w:noHBand="0" w:noVBand="1" w:val="04A0"/>
        <w:tblInd w:w="120" w:type="dxa"/>
        <w:tblBorders>
          <w:top w:val="single" w:sz="2" w:color="EAF2F8"/>
          <w:left w:val="single" w:sz="2" w:color="EAF2F8"/>
          <w:bottom w:val="single" w:sz="2" w:color="EAF2F8"/>
          <w:right w:val="single" w:sz="2" w:color="EAF2F8"/>
          <w:insideH w:val="single" w:sz="2" w:color="EAF2F8"/>
          <w:insideV w:val="single" w:sz="2" w:color="EAF2F8"/>
        </w:tblBorders>
      </w:tblPr>
      <w:tblGrid>
        <w:gridCol w:w="9360"/>
      </w:tblGrid>
      <w:t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8"/>
          </w:tcPr>
          <w:p>
            <w:pPr>
              <w:spacing w:before="80" w:after="120" w:line="264" w:lineRule="auto"/>
            </w:pPr>
            <w:r>
              <w:rPr>
                <w:rFonts w:ascii="Sarabun" w:hAnsi="Sarabun" w:eastAsia="Sarabun" w:cs="Sarabun"/>
                <w:b/>
                <w:bCs/>
                <w:color w:val="17324D"/>
                <w:cs/>
              </w:rPr>
              <w:t xml:space="preserve">สาระสำคัญจากข้อมูล [DATA] </w:t>
            </w:r>
            <w:r>
              <w:rPr>
                <w:rFonts w:ascii="Sarabun" w:hAnsi="Sarabun" w:eastAsia="Sarabun" w:cs="Sarabun"/>
                <w:color w:val="17212B"/>
                <w:cs/>
              </w:rPr>
              <w:t>ผ่านเป้าหมาย 2 จาก 12 KPI เท่านั้น รายได้ที่ปรับคุณภาพข้อมูลอยู่ที่ 48,342 บาท ต่ำกว่าเป้า 1,658 บาท (3.3%) ขณะที่ ROAS อยู่ที่ 1.00x และตัวชี้วัดลูกค้าต่ำกว่าเป้าทุกตัว</w:t>
            </w:r>
          </w:p>
        </w:tc>
      </w:tr>
    </w:tbl>
    <w:p>
      <w:pPr>
        <w:pStyle w:val="Heading1"/>
        <w:widowControl/>
      </w:pPr>
      <w:r>
        <w:t>1. KPI ที่ผู้บริหารควรเห็นทันที</w:t>
      </w:r>
    </w:p>
    <w:tbl>
      <w:tblPr>
        <w:tblW w:type="dxa" w:w="9360"/>
        <w:tblLayout w:type="fixed"/>
        <w:tblLook w:firstColumn="1" w:firstRow="1" w:lastColumn="0" w:lastRow="0" w:noHBand="0" w:noVBand="1" w:val="04A0"/>
        <w:tblInd w:w="120" w:type="dxa"/>
        <w:tblBorders>
          <w:top w:val="single" w:sz="4" w:color="D7DEE5"/>
          <w:left w:val="single" w:sz="4" w:color="D7DEE5"/>
          <w:bottom w:val="single" w:sz="4" w:color="D7DEE5"/>
          <w:right w:val="single" w:sz="4" w:color="D7DEE5"/>
          <w:insideH w:val="single" w:sz="4" w:color="D7DEE5"/>
          <w:insideV w:val="single" w:sz="4" w:color="D7DEE5"/>
        </w:tblBorders>
      </w:tblPr>
      <w:tblGrid>
        <w:gridCol w:w="1300"/>
        <w:gridCol w:w="1500"/>
        <w:gridCol w:w="1500"/>
        <w:gridCol w:w="1200"/>
        <w:gridCol w:w="3860"/>
      </w:tblGrid>
      <w:tr>
        <w:trPr>
          <w:tblHeader w:val="true"/>
        </w:trPr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7"/>
                <w:cs/>
              </w:rPr>
              <w:t>KPI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7"/>
                <w:cs/>
              </w:rPr>
              <w:t>Actual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7"/>
                <w:cs/>
              </w:rPr>
              <w:t>Target</w:t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7"/>
                <w:cs/>
              </w:rPr>
              <w:t>Status</w:t>
            </w:r>
          </w:p>
        </w:tc>
        <w:tc>
          <w:tcPr>
            <w:tcW w:type="dxa" w:w="38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7"/>
                <w:cs/>
              </w:rPr>
              <w:t>Confidence</w:t>
            </w:r>
          </w:p>
        </w:tc>
      </w:tr>
      <w:tr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FIN-01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48,342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≥ 50,000</w:t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CEBEC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B3261E"/>
                <w:sz w:val="17"/>
                <w:cs/>
              </w:rPr>
              <w:t>ไม่ผ่าน</w:t>
            </w:r>
          </w:p>
        </w:tc>
        <w:tc>
          <w:tcPr>
            <w:tcW w:type="dxa" w:w="38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Estimated / Human review</w:t>
            </w:r>
          </w:p>
        </w:tc>
      </w:tr>
      <w:tr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MKT-01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1.00x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≥ 1.05x</w:t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CEBEC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B3261E"/>
                <w:sz w:val="17"/>
                <w:cs/>
              </w:rPr>
              <w:t>ไม่ผ่าน</w:t>
            </w:r>
          </w:p>
        </w:tc>
        <w:tc>
          <w:tcPr>
            <w:tcW w:type="dxa" w:w="38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Provisional / June row missing</w:t>
            </w:r>
          </w:p>
        </w:tc>
      </w:tr>
      <w:tr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MKT-02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648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≤ 650</w:t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6EF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2E7D32"/>
                <w:sz w:val="17"/>
                <w:cs/>
              </w:rPr>
              <w:t>ผ่าน</w:t>
            </w:r>
          </w:p>
        </w:tc>
        <w:tc>
          <w:tcPr>
            <w:tcW w:type="dxa" w:w="38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Provisional / June row missing</w:t>
            </w:r>
          </w:p>
        </w:tc>
      </w:tr>
      <w:tr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CUS-01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2.95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≥ 4</w:t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CEBEC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B3261E"/>
                <w:sz w:val="17"/>
                <w:cs/>
              </w:rPr>
              <w:t>ไม่ผ่าน</w:t>
            </w:r>
          </w:p>
        </w:tc>
        <w:tc>
          <w:tcPr>
            <w:tcW w:type="dxa" w:w="38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Calculated / invalid rating excluded</w:t>
            </w:r>
          </w:p>
        </w:tc>
      </w:tr>
      <w:tr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CUS-02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42.4%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≤ 25.0%</w:t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CEBEC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B3261E"/>
                <w:sz w:val="17"/>
                <w:cs/>
              </w:rPr>
              <w:t>ไม่ผ่าน</w:t>
            </w:r>
          </w:p>
        </w:tc>
        <w:tc>
          <w:tcPr>
            <w:tcW w:type="dxa" w:w="38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Calculated / invalid rating excluded</w:t>
            </w:r>
          </w:p>
        </w:tc>
      </w:tr>
      <w:tr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CUS-03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18.4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≤ 16</w:t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CEBEC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B3261E"/>
                <w:sz w:val="17"/>
                <w:cs/>
              </w:rPr>
              <w:t>ไม่ผ่าน</w:t>
            </w:r>
          </w:p>
        </w:tc>
        <w:tc>
          <w:tcPr>
            <w:tcW w:type="dxa" w:w="38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Calculated / outlier retained</w:t>
            </w:r>
          </w:p>
        </w:tc>
      </w:tr>
    </w:tbl>
    <w:p>
      <w:pPr>
        <w:widowControl/>
        <w:spacing w:after="40"/>
      </w:pPr>
    </w:p>
    <w:p>
      <w:pPr>
        <w:pStyle w:val="Heading1"/>
        <w:widowControl/>
      </w:pPr>
      <w:r>
        <w:t>2. การตัดสินใจที่เสนอ</w:t>
      </w:r>
    </w:p>
    <w:tbl>
      <w:tblPr>
        <w:tblW w:type="dxa" w:w="9360"/>
        <w:tblLayout w:type="fixed"/>
        <w:tblLook w:firstColumn="1" w:firstRow="1" w:lastColumn="0" w:lastRow="0" w:noHBand="0" w:noVBand="1" w:val="04A0"/>
        <w:tblInd w:w="120" w:type="dxa"/>
        <w:tblBorders>
          <w:top w:val="single" w:sz="4" w:color="D7DEE5"/>
          <w:left w:val="single" w:sz="4" w:color="D7DEE5"/>
          <w:bottom w:val="single" w:sz="4" w:color="D7DEE5"/>
          <w:right w:val="single" w:sz="4" w:color="D7DEE5"/>
          <w:insideH w:val="single" w:sz="4" w:color="D7DEE5"/>
          <w:insideV w:val="single" w:sz="4" w:color="D7DEE5"/>
        </w:tblBorders>
      </w:tblPr>
      <w:tblGrid>
        <w:gridCol w:w="2850"/>
        <w:gridCol w:w="3860"/>
        <w:gridCol w:w="2650"/>
      </w:tblGrid>
      <w:tr>
        <w:trPr>
          <w:tblHeader w:val="true"/>
        </w:trPr>
        <w:tc>
          <w:tcPr>
            <w:tcW w:type="dxa" w:w="28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6"/>
                <w:cs/>
              </w:rPr>
              <w:t>Decision</w:t>
            </w:r>
          </w:p>
        </w:tc>
        <w:tc>
          <w:tcPr>
            <w:tcW w:type="dxa" w:w="38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6"/>
                <w:cs/>
              </w:rPr>
              <w:t>Evidence</w:t>
            </w:r>
          </w:p>
        </w:tc>
        <w:tc>
          <w:tcPr>
            <w:tcW w:type="dxa" w:w="26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6"/>
                <w:cs/>
              </w:rPr>
              <w:t>Guardrail / Owner</w:t>
            </w:r>
          </w:p>
        </w:tc>
      </w:tr>
      <w:tr>
        <w:tc>
          <w:tcPr>
            <w:tcW w:type="dxa" w:w="28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1) Revenue Recovery 90 วัน</w:t>
            </w:r>
          </w:p>
        </w:tc>
        <w:tc>
          <w:tcPr>
            <w:tcW w:type="dxa" w:w="38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[DATA] มิ.ย. -29.7% MoM; AOV ต่ำกว่าเป้า</w:t>
            </w:r>
          </w:p>
        </w:tc>
        <w:tc>
          <w:tcPr>
            <w:tcW w:type="dxa" w:w="26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Commercial; weekly review</w:t>
            </w:r>
          </w:p>
        </w:tc>
      </w:tr>
      <w:tr>
        <w:tc>
          <w:tcPr>
            <w:tcW w:type="dxa" w:w="28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2) Budget Reallocation test</w:t>
            </w:r>
          </w:p>
        </w:tc>
        <w:tc>
          <w:tcPr>
            <w:tcW w:type="dxa" w:w="38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[INFERENCE] จำกัด TikTok; ทดสอบ LINE OA/Google</w:t>
            </w:r>
          </w:p>
        </w:tc>
        <w:tc>
          <w:tcPr>
            <w:tcW w:type="dxa" w:w="26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Marketing + Finance; holdout</w:t>
            </w:r>
          </w:p>
        </w:tc>
      </w:tr>
      <w:tr>
        <w:tc>
          <w:tcPr>
            <w:tcW w:type="dxa" w:w="28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3) Customer SLA ≤16 ชม.</w:t>
            </w:r>
          </w:p>
        </w:tc>
        <w:tc>
          <w:tcPr>
            <w:tcW w:type="dxa" w:w="38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[DATA] Avg 18.4 ชม.; หมวดเสี่ยง 24.3 ชม.</w:t>
            </w:r>
          </w:p>
        </w:tc>
        <w:tc>
          <w:tcPr>
            <w:tcW w:type="dxa" w:w="265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CX; alert 12 ชม.</w:t>
            </w:r>
          </w:p>
        </w:tc>
      </w:tr>
    </w:tbl>
    <w:p>
      <w:pPr>
        <w:widowControl/>
        <w:spacing w:after="40"/>
      </w:pPr>
    </w:p>
    <w:p>
      <w:pPr>
        <w:pStyle w:val="Heading1"/>
        <w:pageBreakBefore w:val="0"/>
        <w:widowControl/>
      </w:pPr>
      <w:r>
        <w:t>3. Sales: รายได้ยังไม่ถึงเป้าและความผันผวนสูง</w:t>
      </w:r>
    </w:p>
    <w:p>
      <w:pPr>
        <w:widowControl/>
        <w:spacing w:before="80" w:after="120" w:line="264" w:lineRule="auto"/>
      </w:pPr>
      <w:r>
        <w:rPr>
          <w:rFonts w:ascii="Sarabun" w:hAnsi="Sarabun" w:eastAsia="Sarabun" w:cs="Sarabun"/>
          <w:b/>
          <w:bCs/>
          <w:color w:val="17324D"/>
          <w:cs/>
        </w:rPr>
        <w:t xml:space="preserve">[DATA] </w:t>
      </w:r>
      <w:r>
        <w:rPr>
          <w:rFonts w:ascii="Sarabun" w:hAnsi="Sarabun" w:eastAsia="Sarabun" w:cs="Sarabun"/>
          <w:color w:val="17212B"/>
          <w:cs/>
        </w:rPr>
        <w:t>รายได้ปรับคุณภาพ 48,342 บาท เทียบกับรายได้รายงานหลังตัดแถวซ้ำ 49,162 บาท ส่วนต่าง -820 บาทมาจาก 2 รายการที่รายได้ไม่สอดคล้องกับ Quantity × Unit Price × (1-Discount) และสถานะคำสั่งซื้อ</w:t>
      </w:r>
    </w:p>
    <w:tbl>
      <w:tblPr>
        <w:tblW w:type="dxa" w:w="9360"/>
        <w:tblLayout w:type="fixed"/>
        <w:tblLook w:firstColumn="1" w:firstRow="1" w:lastColumn="0" w:lastRow="0" w:noHBand="0" w:noVBand="1" w:val="04A0"/>
        <w:tblInd w:w="120" w:type="dxa"/>
        <w:tblBorders>
          <w:top w:val="single" w:sz="4" w:color="D7DEE5"/>
          <w:left w:val="single" w:sz="4" w:color="D7DEE5"/>
          <w:bottom w:val="single" w:sz="4" w:color="D7DEE5"/>
          <w:right w:val="single" w:sz="4" w:color="D7DEE5"/>
          <w:insideH w:val="single" w:sz="4" w:color="D7DEE5"/>
          <w:insideV w:val="single" w:sz="4" w:color="D7DEE5"/>
        </w:tblBorders>
      </w:tblPr>
      <w:tblGrid>
        <w:gridCol w:w="2200"/>
        <w:gridCol w:w="1600"/>
        <w:gridCol w:w="2100"/>
        <w:gridCol w:w="3460"/>
      </w:tblGrid>
      <w:tr>
        <w:trPr>
          <w:tblHeader w:val="true"/>
        </w:trPr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8"/>
                <w:cs/>
              </w:rPr>
              <w:t>Metric</w:t>
            </w:r>
          </w:p>
        </w:tc>
        <w:tc>
          <w:tcPr>
            <w:tcW w:type="dxa" w:w="16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8"/>
                <w:cs/>
              </w:rPr>
              <w:t>Actual</w:t>
            </w:r>
          </w:p>
        </w:tc>
        <w:tc>
          <w:tcPr>
            <w:tcW w:type="dxa" w:w="21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8"/>
                <w:cs/>
              </w:rPr>
              <w:t>Target / Reference</w:t>
            </w:r>
          </w:p>
        </w:tc>
        <w:tc>
          <w:tcPr>
            <w:tcW w:type="dxa" w:w="3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8"/>
                <w:cs/>
              </w:rPr>
              <w:t>Implication</w:t>
            </w:r>
          </w:p>
        </w:tc>
      </w:tr>
      <w:tr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Recognized revenue</w:t>
            </w:r>
          </w:p>
        </w:tc>
        <w:tc>
          <w:tcPr>
            <w:tcW w:type="dxa" w:w="16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48,342 บาท</w:t>
            </w:r>
          </w:p>
        </w:tc>
        <w:tc>
          <w:tcPr>
            <w:tcW w:type="dxa" w:w="21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≥ 50,000 บาท</w:t>
            </w:r>
          </w:p>
        </w:tc>
        <w:tc>
          <w:tcPr>
            <w:tcW w:type="dxa" w:w="3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ต่ำกว่าเป้า 3.3%</w:t>
            </w:r>
          </w:p>
        </w:tc>
      </w:tr>
      <w:tr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Average MoM growth</w:t>
            </w:r>
          </w:p>
        </w:tc>
        <w:tc>
          <w:tcPr>
            <w:tcW w:type="dxa" w:w="16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-7.0%</w:t>
            </w:r>
          </w:p>
        </w:tc>
        <w:tc>
          <w:tcPr>
            <w:tcW w:type="dxa" w:w="21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≥ 5.0%</w:t>
            </w:r>
          </w:p>
        </w:tc>
        <w:tc>
          <w:tcPr>
            <w:tcW w:type="dxa" w:w="3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มี.ค. -32.4%; มิ.ย. -29.7%</w:t>
            </w:r>
          </w:p>
        </w:tc>
      </w:tr>
      <w:tr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AOV</w:t>
            </w:r>
          </w:p>
        </w:tc>
        <w:tc>
          <w:tcPr>
            <w:tcW w:type="dxa" w:w="16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525 บาท</w:t>
            </w:r>
          </w:p>
        </w:tc>
        <w:tc>
          <w:tcPr>
            <w:tcW w:type="dxa" w:w="21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≥ 550 บาท</w:t>
            </w:r>
          </w:p>
        </w:tc>
        <w:tc>
          <w:tcPr>
            <w:tcW w:type="dxa" w:w="3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ขาด 25 บาท/คำสั่งซื้อ</w:t>
            </w:r>
          </w:p>
        </w:tc>
      </w:tr>
      <w:tr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Completion rate</w:t>
            </w:r>
          </w:p>
        </w:tc>
        <w:tc>
          <w:tcPr>
            <w:tcW w:type="dxa" w:w="16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78.0%</w:t>
            </w:r>
          </w:p>
        </w:tc>
        <w:tc>
          <w:tcPr>
            <w:tcW w:type="dxa" w:w="21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≥ 80.0%</w:t>
            </w:r>
          </w:p>
        </w:tc>
        <w:tc>
          <w:tcPr>
            <w:tcW w:type="dxa" w:w="3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ต่ำกว่าเป้า 2.0 จุดเปอร์เซ็นต์</w:t>
            </w:r>
          </w:p>
        </w:tc>
      </w:tr>
      <w:tr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Cancel + refund rate</w:t>
            </w:r>
          </w:p>
        </w:tc>
        <w:tc>
          <w:tcPr>
            <w:tcW w:type="dxa" w:w="16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11.0%</w:t>
            </w:r>
          </w:p>
        </w:tc>
        <w:tc>
          <w:tcPr>
            <w:tcW w:type="dxa" w:w="21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≤ 10.0%</w:t>
            </w:r>
          </w:p>
        </w:tc>
        <w:tc>
          <w:tcPr>
            <w:tcW w:type="dxa" w:w="34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สูงกว่าเพดาน 1.0 จุดเปอร์เซ็นต์</w:t>
            </w:r>
          </w:p>
        </w:tc>
      </w:tr>
    </w:tbl>
    <w:p>
      <w:pPr>
        <w:widowControl/>
        <w:spacing w:after="40"/>
      </w:pPr>
    </w:p>
    <w:tbl>
      <w:tblPr>
        <w:tblW w:type="dxa" w:w="9360"/>
        <w:tblLayout w:type="fixed"/>
        <w:tblLook w:firstColumn="1" w:firstRow="1" w:lastColumn="0" w:lastRow="0" w:noHBand="0" w:noVBand="1" w:val="04A0"/>
        <w:tblInd w:w="120" w:type="dxa"/>
        <w:tblBorders>
          <w:top w:val="single" w:sz="2" w:color="EAF2F8"/>
          <w:left w:val="single" w:sz="2" w:color="EAF2F8"/>
          <w:bottom w:val="single" w:sz="2" w:color="EAF2F8"/>
          <w:right w:val="single" w:sz="2" w:color="EAF2F8"/>
          <w:insideH w:val="single" w:sz="2" w:color="EAF2F8"/>
          <w:insideV w:val="single" w:sz="2" w:color="EAF2F8"/>
        </w:tblBorders>
      </w:tblPr>
      <w:tblGrid>
        <w:gridCol w:w="9360"/>
      </w:tblGrid>
      <w:t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8"/>
          </w:tcPr>
          <w:p>
            <w:pPr>
              <w:spacing w:before="80" w:after="120" w:line="264" w:lineRule="auto"/>
            </w:pPr>
            <w:r>
              <w:rPr>
                <w:rFonts w:ascii="Sarabun" w:hAnsi="Sarabun" w:eastAsia="Sarabun" w:cs="Sarabun"/>
                <w:b/>
                <w:bCs/>
                <w:color w:val="17324D"/>
                <w:cs/>
              </w:rPr>
              <w:t xml:space="preserve">[DATA + INFERENCE] </w:t>
            </w:r>
            <w:r>
              <w:rPr>
                <w:rFonts w:ascii="Sarabun" w:hAnsi="Sarabun" w:eastAsia="Sarabun" w:cs="Sarabun"/>
                <w:color w:val="17212B"/>
                <w:cs/>
              </w:rPr>
              <w:t>Premium Snack Box สร้างรายได้ 16,610 บาท (34.4%) และควรเป็นแกน recovery test; Facebook Ads ในข้อมูล Sales ให้รายได้สุทธิ -1,563 บาท จึงต้องตรวจ refund root cause ก่อนเพิ่มงบ โดยยังห้ามสรุปเชิงสาเหตุเพราะไม่มี attribution key</w:t>
            </w:r>
          </w:p>
        </w:tc>
      </w:tr>
    </w:tbl>
    <w:p>
      <w:pPr>
        <w:pStyle w:val="Heading1"/>
        <w:widowControl/>
      </w:pPr>
      <w:r>
        <w:t>4. Marketing: Efficiency แตกต่างกันมากตาม Channel</w:t>
      </w:r>
    </w:p>
    <w:p>
      <w:pPr>
        <w:widowControl/>
        <w:spacing w:before="80" w:after="120" w:line="264" w:lineRule="auto"/>
      </w:pPr>
      <w:r>
        <w:rPr>
          <w:rFonts w:ascii="Sarabun" w:hAnsi="Sarabun" w:eastAsia="Sarabun" w:cs="Sarabun"/>
          <w:b/>
          <w:bCs/>
          <w:color w:val="17324D"/>
          <w:cs/>
        </w:rPr>
        <w:t xml:space="preserve">[DATA] </w:t>
      </w:r>
      <w:r>
        <w:rPr>
          <w:rFonts w:ascii="Sarabun" w:hAnsi="Sarabun" w:eastAsia="Sarabun" w:cs="Sarabun"/>
          <w:color w:val="17212B"/>
          <w:cs/>
        </w:rPr>
        <w:t>Marketing H1 แบบ Partial: Spend 172,935 บาท, Attributed Revenue 172,320 บาท, ROAS 1.00x, CAC 648 บาท และ Lead-to-Customer 6.57%</w:t>
      </w:r>
    </w:p>
    <w:tbl>
      <w:tblPr>
        <w:tblW w:type="dxa" w:w="9360"/>
        <w:tblLayout w:type="fixed"/>
        <w:tblLook w:firstColumn="1" w:firstRow="1" w:lastColumn="0" w:lastRow="0" w:noHBand="0" w:noVBand="1" w:val="04A0"/>
        <w:tblInd w:w="120" w:type="dxa"/>
        <w:tblBorders>
          <w:top w:val="single" w:sz="4" w:color="D7DEE5"/>
          <w:left w:val="single" w:sz="4" w:color="D7DEE5"/>
          <w:bottom w:val="single" w:sz="4" w:color="D7DEE5"/>
          <w:right w:val="single" w:sz="4" w:color="D7DEE5"/>
          <w:insideH w:val="single" w:sz="4" w:color="D7DEE5"/>
          <w:insideV w:val="single" w:sz="4" w:color="D7DEE5"/>
        </w:tblBorders>
      </w:tblPr>
      <w:tblGrid>
        <w:gridCol w:w="2200"/>
        <w:gridCol w:w="1300"/>
        <w:gridCol w:w="1500"/>
        <w:gridCol w:w="1300"/>
        <w:gridCol w:w="3060"/>
      </w:tblGrid>
      <w:tr>
        <w:trPr>
          <w:tblHeader w:val="true"/>
        </w:trPr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7"/>
                <w:cs/>
              </w:rPr>
              <w:t>Channel</w:t>
            </w:r>
          </w:p>
        </w:tc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7"/>
                <w:cs/>
              </w:rPr>
              <w:t>ROAS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7"/>
                <w:cs/>
              </w:rPr>
              <w:t>CAC</w:t>
            </w:r>
          </w:p>
        </w:tc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7"/>
                <w:cs/>
              </w:rPr>
              <w:t>Customers</w:t>
            </w:r>
          </w:p>
        </w:tc>
        <w:tc>
          <w:tcPr>
            <w:tcW w:type="dxa" w:w="30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7"/>
                <w:cs/>
              </w:rPr>
              <w:t>Decision signal</w:t>
            </w:r>
          </w:p>
        </w:tc>
      </w:tr>
      <w:tr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LINE OA</w:t>
            </w:r>
          </w:p>
        </w:tc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2.10x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200</w:t>
            </w:r>
          </w:p>
        </w:tc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69</w:t>
            </w:r>
          </w:p>
        </w:tc>
        <w:tc>
          <w:tcPr>
            <w:tcW w:type="dxa" w:w="30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Scale test</w:t>
            </w:r>
          </w:p>
        </w:tc>
      </w:tr>
      <w:tr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Google Ads</w:t>
            </w:r>
          </w:p>
        </w:tc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1.20x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675</w:t>
            </w:r>
          </w:p>
        </w:tc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58</w:t>
            </w:r>
          </w:p>
        </w:tc>
        <w:tc>
          <w:tcPr>
            <w:tcW w:type="dxa" w:w="30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Keep; improve CAC</w:t>
            </w:r>
          </w:p>
        </w:tc>
      </w:tr>
      <w:tr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Influencer</w:t>
            </w:r>
          </w:p>
        </w:tc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1.08x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734</w:t>
            </w:r>
          </w:p>
        </w:tc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52</w:t>
            </w:r>
          </w:p>
        </w:tc>
        <w:tc>
          <w:tcPr>
            <w:tcW w:type="dxa" w:w="30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Selective</w:t>
            </w:r>
          </w:p>
        </w:tc>
      </w:tr>
      <w:tr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Facebook Ads</w:t>
            </w:r>
          </w:p>
        </w:tc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0.83x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785</w:t>
            </w:r>
          </w:p>
        </w:tc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38</w:t>
            </w:r>
          </w:p>
        </w:tc>
        <w:tc>
          <w:tcPr>
            <w:tcW w:type="dxa" w:w="30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Rework</w:t>
            </w:r>
          </w:p>
        </w:tc>
      </w:tr>
      <w:tr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Instagram Ads</w:t>
            </w:r>
          </w:p>
        </w:tc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0.82x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791</w:t>
            </w:r>
          </w:p>
        </w:tc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39</w:t>
            </w:r>
          </w:p>
        </w:tc>
        <w:tc>
          <w:tcPr>
            <w:tcW w:type="dxa" w:w="30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Rework</w:t>
            </w:r>
          </w:p>
        </w:tc>
      </w:tr>
      <w:tr>
        <w:tc>
          <w:tcPr>
            <w:tcW w:type="dxa" w:w="2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TikTok Ads</w:t>
            </w:r>
          </w:p>
        </w:tc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0.25x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1,923</w:t>
            </w:r>
          </w:p>
        </w:tc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11</w:t>
            </w:r>
          </w:p>
        </w:tc>
        <w:tc>
          <w:tcPr>
            <w:tcW w:type="dxa" w:w="30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Pause/limit test</w:t>
            </w:r>
          </w:p>
        </w:tc>
      </w:tr>
    </w:tbl>
    <w:p>
      <w:pPr>
        <w:widowControl/>
        <w:spacing w:after="40"/>
      </w:pPr>
    </w:p>
    <w:tbl>
      <w:tblPr>
        <w:tblW w:type="dxa" w:w="9360"/>
        <w:tblLayout w:type="fixed"/>
        <w:tblLook w:firstColumn="1" w:firstRow="1" w:lastColumn="0" w:lastRow="0" w:noHBand="0" w:noVBand="1" w:val="04A0"/>
        <w:tblInd w:w="120" w:type="dxa"/>
        <w:tblBorders>
          <w:top w:val="single" w:sz="2" w:color="FCEBEC"/>
          <w:left w:val="single" w:sz="2" w:color="FCEBEC"/>
          <w:bottom w:val="single" w:sz="2" w:color="FCEBEC"/>
          <w:right w:val="single" w:sz="2" w:color="FCEBEC"/>
          <w:insideH w:val="single" w:sz="2" w:color="FCEBEC"/>
          <w:insideV w:val="single" w:sz="2" w:color="FCEBEC"/>
        </w:tblBorders>
      </w:tblPr>
      <w:tblGrid>
        <w:gridCol w:w="9360"/>
      </w:tblGrid>
      <w:t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CEBEC"/>
          </w:tcPr>
          <w:p>
            <w:pPr>
              <w:spacing w:before="80" w:after="120" w:line="264" w:lineRule="auto"/>
            </w:pPr>
            <w:r>
              <w:rPr>
                <w:rFonts w:ascii="Sarabun" w:hAnsi="Sarabun" w:eastAsia="Sarabun" w:cs="Sarabun"/>
                <w:b/>
                <w:bCs/>
                <w:color w:val="17324D"/>
                <w:cs/>
              </w:rPr>
              <w:t xml:space="preserve">[HUMAN REVIEW] </w:t>
            </w:r>
            <w:r>
              <w:rPr>
                <w:rFonts w:ascii="Sarabun" w:hAnsi="Sarabun" w:eastAsia="Sarabun" w:cs="Sarabun"/>
                <w:color w:val="17212B"/>
                <w:cs/>
              </w:rPr>
              <w:t>ตัวเลข Marketing เดือนมิถุนายนขาดแคมเปญ TikTok Ads 1 แถว และ Google Ads เดือนเมษายนระบุว่ารายได้มี manual adjustment ดังนั้น KPI Marketing ทั้ง H1 เป็น Provisional และยังไม่ควรใช้เพื่ออนุมัติงบถาวร</w:t>
            </w:r>
          </w:p>
        </w:tc>
      </w:tr>
    </w:tbl>
    <w:p>
      <w:pPr>
        <w:pStyle w:val="Heading1"/>
        <w:pageBreakBefore w:val="0"/>
        <w:widowControl/>
      </w:pPr>
      <w:r>
        <w:t>5. Customer &amp; Operations: Pain point ชัดที่ Service และ Product Request</w:t>
      </w:r>
    </w:p>
    <w:tbl>
      <w:tblPr>
        <w:tblW w:type="dxa" w:w="9360"/>
        <w:tblLayout w:type="fixed"/>
        <w:tblLook w:firstColumn="1" w:firstRow="1" w:lastColumn="0" w:lastRow="0" w:noHBand="0" w:noVBand="1" w:val="04A0"/>
        <w:tblInd w:w="120" w:type="dxa"/>
        <w:tblBorders>
          <w:top w:val="single" w:sz="4" w:color="D7DEE5"/>
          <w:left w:val="single" w:sz="4" w:color="D7DEE5"/>
          <w:bottom w:val="single" w:sz="4" w:color="D7DEE5"/>
          <w:right w:val="single" w:sz="4" w:color="D7DEE5"/>
          <w:insideH w:val="single" w:sz="4" w:color="D7DEE5"/>
          <w:insideV w:val="single" w:sz="4" w:color="D7DEE5"/>
        </w:tblBorders>
      </w:tblPr>
      <w:tblGrid>
        <w:gridCol w:w="2500"/>
        <w:gridCol w:w="1900"/>
        <w:gridCol w:w="1800"/>
        <w:gridCol w:w="3160"/>
      </w:tblGrid>
      <w:tr>
        <w:trPr>
          <w:tblHeader w:val="true"/>
        </w:trPr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8"/>
                <w:cs/>
              </w:rPr>
              <w:t>Metric</w:t>
            </w:r>
          </w:p>
        </w:tc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8"/>
                <w:cs/>
              </w:rPr>
              <w:t>Actual</w:t>
            </w:r>
          </w:p>
        </w:tc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8"/>
                <w:cs/>
              </w:rPr>
              <w:t>Target</w:t>
            </w:r>
          </w:p>
        </w:tc>
        <w:tc>
          <w:tcPr>
            <w:tcW w:type="dxa" w:w="31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8"/>
                <w:cs/>
              </w:rPr>
              <w:t>Gap</w:t>
            </w:r>
          </w:p>
        </w:tc>
      </w:tr>
      <w:tr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Average rating</w:t>
            </w:r>
          </w:p>
        </w:tc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2.95</w:t>
            </w:r>
          </w:p>
        </w:tc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≥ 4.00</w:t>
            </w:r>
          </w:p>
        </w:tc>
        <w:tc>
          <w:tcPr>
            <w:tcW w:type="dxa" w:w="31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-1.05</w:t>
            </w:r>
          </w:p>
        </w:tc>
      </w:tr>
      <w:tr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Negative feedback rate</w:t>
            </w:r>
          </w:p>
        </w:tc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42.4%</w:t>
            </w:r>
          </w:p>
        </w:tc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≤ 25.0%</w:t>
            </w:r>
          </w:p>
        </w:tc>
        <w:tc>
          <w:tcPr>
            <w:tcW w:type="dxa" w:w="31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+17.4 pp</w:t>
            </w:r>
          </w:p>
        </w:tc>
      </w:tr>
      <w:tr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Average first response</w:t>
            </w:r>
          </w:p>
        </w:tc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18.4 ชม.</w:t>
            </w:r>
          </w:p>
        </w:tc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≤ 16.0 ชม.</w:t>
            </w:r>
          </w:p>
        </w:tc>
        <w:tc>
          <w:tcPr>
            <w:tcW w:type="dxa" w:w="31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+2.4 ชม.</w:t>
            </w:r>
          </w:p>
        </w:tc>
      </w:tr>
      <w:tr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Median first response</w:t>
            </w:r>
          </w:p>
        </w:tc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11.0 ชม.</w:t>
            </w:r>
          </w:p>
        </w:tc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Reference</w:t>
            </w:r>
          </w:p>
        </w:tc>
        <w:tc>
          <w:tcPr>
            <w:tcW w:type="dxa" w:w="31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outlier-sensitive</w:t>
            </w:r>
          </w:p>
        </w:tc>
      </w:tr>
      <w:tr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Resolution rate</w:t>
            </w:r>
          </w:p>
        </w:tc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80.0%</w:t>
            </w:r>
          </w:p>
        </w:tc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≥ 85.0%</w:t>
            </w:r>
          </w:p>
        </w:tc>
        <w:tc>
          <w:tcPr>
            <w:tcW w:type="dxa" w:w="31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8"/>
                <w:cs/>
              </w:rPr>
              <w:t>-5.0 pp</w:t>
            </w:r>
          </w:p>
        </w:tc>
      </w:tr>
    </w:tbl>
    <w:p>
      <w:pPr>
        <w:widowControl/>
        <w:spacing w:after="40"/>
      </w:pPr>
    </w:p>
    <w:tbl>
      <w:tblPr>
        <w:tblW w:type="dxa" w:w="9360"/>
        <w:tblLayout w:type="fixed"/>
        <w:tblLook w:firstColumn="1" w:firstRow="1" w:lastColumn="0" w:lastRow="0" w:noHBand="0" w:noVBand="1" w:val="04A0"/>
        <w:tblInd w:w="120" w:type="dxa"/>
        <w:tblBorders>
          <w:top w:val="single" w:sz="4" w:color="D7DEE5"/>
          <w:left w:val="single" w:sz="4" w:color="D7DEE5"/>
          <w:bottom w:val="single" w:sz="4" w:color="D7DEE5"/>
          <w:right w:val="single" w:sz="4" w:color="D7DEE5"/>
          <w:insideH w:val="single" w:sz="4" w:color="D7DEE5"/>
          <w:insideV w:val="single" w:sz="4" w:color="D7DEE5"/>
        </w:tblBorders>
      </w:tblPr>
      <w:tblGrid>
        <w:gridCol w:w="2500"/>
        <w:gridCol w:w="1400"/>
        <w:gridCol w:w="1500"/>
        <w:gridCol w:w="1900"/>
        <w:gridCol w:w="2060"/>
      </w:tblGrid>
      <w:tr>
        <w:trPr>
          <w:tblHeader w:val="true"/>
        </w:trPr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7"/>
                <w:cs/>
              </w:rPr>
              <w:t>Category</w:t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7"/>
                <w:cs/>
              </w:rPr>
              <w:t>Avg rating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7"/>
                <w:cs/>
              </w:rPr>
              <w:t>Negative</w:t>
            </w:r>
          </w:p>
        </w:tc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7"/>
                <w:cs/>
              </w:rPr>
              <w:t>Avg response</w:t>
            </w:r>
          </w:p>
        </w:tc>
        <w:tc>
          <w:tcPr>
            <w:tcW w:type="dxa" w:w="20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7"/>
                <w:cs/>
              </w:rPr>
              <w:t>Resolution</w:t>
            </w:r>
          </w:p>
        </w:tc>
      </w:tr>
      <w:tr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Customer Service</w:t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2.67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66.7%</w:t>
            </w:r>
          </w:p>
        </w:tc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24.3 ชม.</w:t>
            </w:r>
          </w:p>
        </w:tc>
        <w:tc>
          <w:tcPr>
            <w:tcW w:type="dxa" w:w="20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66.7%</w:t>
            </w:r>
          </w:p>
        </w:tc>
      </w:tr>
      <w:tr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Product Request</w:t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2.67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66.7%</w:t>
            </w:r>
          </w:p>
        </w:tc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24.3 ชม.</w:t>
            </w:r>
          </w:p>
        </w:tc>
        <w:tc>
          <w:tcPr>
            <w:tcW w:type="dxa" w:w="20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77.8%</w:t>
            </w:r>
          </w:p>
        </w:tc>
      </w:tr>
      <w:tr>
        <w:tc>
          <w:tcPr>
            <w:tcW w:type="dxa" w:w="2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Packaging</w:t>
            </w:r>
          </w:p>
        </w:tc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2.67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44.4%</w:t>
            </w:r>
          </w:p>
        </w:tc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16.7 ชม.</w:t>
            </w:r>
          </w:p>
        </w:tc>
        <w:tc>
          <w:tcPr>
            <w:tcW w:type="dxa" w:w="20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66.7%</w:t>
            </w:r>
          </w:p>
        </w:tc>
      </w:tr>
    </w:tbl>
    <w:p>
      <w:pPr>
        <w:widowControl/>
        <w:spacing w:after="40"/>
      </w:pPr>
    </w:p>
    <w:tbl>
      <w:tblPr>
        <w:tblW w:type="dxa" w:w="9360"/>
        <w:tblLayout w:type="fixed"/>
        <w:tblLook w:firstColumn="1" w:firstRow="1" w:lastColumn="0" w:lastRow="0" w:noHBand="0" w:noVBand="1" w:val="04A0"/>
        <w:tblInd w:w="120" w:type="dxa"/>
        <w:tblBorders>
          <w:top w:val="single" w:sz="2" w:color="EAF2F8"/>
          <w:left w:val="single" w:sz="2" w:color="EAF2F8"/>
          <w:bottom w:val="single" w:sz="2" w:color="EAF2F8"/>
          <w:right w:val="single" w:sz="2" w:color="EAF2F8"/>
          <w:insideH w:val="single" w:sz="2" w:color="EAF2F8"/>
          <w:insideV w:val="single" w:sz="2" w:color="EAF2F8"/>
        </w:tblBorders>
      </w:tblPr>
      <w:tblGrid>
        <w:gridCol w:w="9360"/>
      </w:tblGrid>
      <w:t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8"/>
          </w:tcPr>
          <w:p>
            <w:pPr>
              <w:spacing w:before="80" w:after="120" w:line="264" w:lineRule="auto"/>
            </w:pPr>
            <w:r>
              <w:rPr>
                <w:rFonts w:ascii="Sarabun" w:hAnsi="Sarabun" w:eastAsia="Sarabun" w:cs="Sarabun"/>
                <w:b/>
                <w:bCs/>
                <w:color w:val="17324D"/>
                <w:cs/>
              </w:rPr>
              <w:t xml:space="preserve">[DATA + INFERENCE] </w:t>
            </w:r>
            <w:r>
              <w:rPr>
                <w:rFonts w:ascii="Sarabun" w:hAnsi="Sarabun" w:eastAsia="Sarabun" w:cs="Sarabun"/>
                <w:color w:val="17212B"/>
                <w:cs/>
              </w:rPr>
              <w:t>Customer Service และ Product Request มี Negative Rate 66.7% และตอบเฉลี่ย 24.3 ชั่วโมง จึงควรเริ่ม SLA recovery ที่สองหมวดนี้ก่อน ด้วย triage 4 ชั่วโมง, alert 12 ชั่วโมง และ escalation ก่อน 16 ชั่วโมง</w:t>
            </w:r>
          </w:p>
        </w:tc>
      </w:tr>
    </w:tbl>
    <w:p>
      <w:pPr>
        <w:pStyle w:val="Heading1"/>
        <w:widowControl/>
      </w:pPr>
      <w:r>
        <w:t>6. 30–60–90 Day Action Plan</w:t>
      </w:r>
    </w:p>
    <w:tbl>
      <w:tblPr>
        <w:tblW w:type="dxa" w:w="9360"/>
        <w:tblLayout w:type="fixed"/>
        <w:tblLook w:firstColumn="1" w:firstRow="1" w:lastColumn="0" w:lastRow="0" w:noHBand="0" w:noVBand="1" w:val="04A0"/>
        <w:tblInd w:w="120" w:type="dxa"/>
        <w:tblBorders>
          <w:top w:val="single" w:sz="4" w:color="D7DEE5"/>
          <w:left w:val="single" w:sz="4" w:color="D7DEE5"/>
          <w:bottom w:val="single" w:sz="4" w:color="D7DEE5"/>
          <w:right w:val="single" w:sz="4" w:color="D7DEE5"/>
          <w:insideH w:val="single" w:sz="4" w:color="D7DEE5"/>
          <w:insideV w:val="single" w:sz="4" w:color="D7DEE5"/>
        </w:tblBorders>
      </w:tblPr>
      <w:tblGrid>
        <w:gridCol w:w="1400"/>
        <w:gridCol w:w="3900"/>
        <w:gridCol w:w="1900"/>
        <w:gridCol w:w="2160"/>
      </w:tblGrid>
      <w:tr>
        <w:trPr>
          <w:tblHeader w:val="true"/>
        </w:trPr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7"/>
                <w:cs/>
              </w:rPr>
              <w:t>Timing</w:t>
            </w:r>
          </w:p>
        </w:tc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7"/>
                <w:cs/>
              </w:rPr>
              <w:t>Action</w:t>
            </w:r>
          </w:p>
        </w:tc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7"/>
                <w:cs/>
              </w:rPr>
              <w:t>Owner</w:t>
            </w:r>
          </w:p>
        </w:tc>
        <w:tc>
          <w:tcPr>
            <w:tcW w:type="dxa" w:w="21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7"/>
                <w:cs/>
              </w:rPr>
              <w:t>Success metric</w:t>
            </w:r>
          </w:p>
        </w:tc>
      </w:tr>
      <w:tr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0–30 วัน</w:t>
            </w:r>
          </w:p>
        </w:tc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ยืนยัน 5 data gaps; แก้ duplicate/invalid IDs; สร้าง campaign-order mapping</w:t>
            </w:r>
          </w:p>
        </w:tc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Data + Finance + Marketing</w:t>
            </w:r>
          </w:p>
        </w:tc>
        <w:tc>
          <w:tcPr>
            <w:tcW w:type="dxa" w:w="21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Checks PASS; attribution coverage ≥90%</w:t>
            </w:r>
          </w:p>
        </w:tc>
      </w:tr>
      <w:tr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31–60 วัน</w:t>
            </w:r>
          </w:p>
        </w:tc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ทดลองโยก 10–15% ของงบยืดหยุ่นจากช่องทาง ROAS ต่ำไป LINE OA/Google</w:t>
            </w:r>
          </w:p>
        </w:tc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Marketing + Finance</w:t>
            </w:r>
          </w:p>
        </w:tc>
        <w:tc>
          <w:tcPr>
            <w:tcW w:type="dxa" w:w="21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Incremental ROAS ผ่าน holdout; CAC ไม่เกิน 650</w:t>
            </w:r>
          </w:p>
        </w:tc>
      </w:tr>
      <w:tr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31–60 วัน</w:t>
            </w:r>
          </w:p>
        </w:tc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เปิด SLA alert และ queue รายหมวด</w:t>
            </w:r>
          </w:p>
        </w:tc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CX + Operations</w:t>
            </w:r>
          </w:p>
        </w:tc>
        <w:tc>
          <w:tcPr>
            <w:tcW w:type="dxa" w:w="21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Avg response ≤16 ชม.; Resolution ≥85%</w:t>
            </w:r>
          </w:p>
        </w:tc>
      </w:tr>
      <w:tr>
        <w:tc>
          <w:tcPr>
            <w:tcW w:type="dxa" w:w="14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61–90 วัน</w:t>
            </w:r>
          </w:p>
        </w:tc>
        <w:tc>
          <w:tcPr>
            <w:tcW w:type="dxa" w:w="3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รีวิว product/channel mix และ refund root cause</w:t>
            </w:r>
          </w:p>
        </w:tc>
        <w:tc>
          <w:tcPr>
            <w:tcW w:type="dxa" w:w="19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Commercial + Operations</w:t>
            </w:r>
          </w:p>
        </w:tc>
        <w:tc>
          <w:tcPr>
            <w:tcW w:type="dxa" w:w="21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Revenue run-rate ฟื้น; cancel/refund ≤10%</w:t>
            </w:r>
          </w:p>
        </w:tc>
      </w:tr>
    </w:tbl>
    <w:p>
      <w:pPr>
        <w:widowControl/>
        <w:spacing w:after="40"/>
      </w:pPr>
    </w:p>
    <w:p>
      <w:pPr>
        <w:widowControl/>
        <w:spacing w:before="80" w:after="120" w:line="264" w:lineRule="auto"/>
      </w:pPr>
      <w:r>
        <w:rPr>
          <w:rFonts w:ascii="Sarabun" w:hAnsi="Sarabun" w:eastAsia="Sarabun" w:cs="Sarabun"/>
          <w:b/>
          <w:bCs/>
          <w:color w:val="17324D"/>
          <w:cs/>
        </w:rPr>
        <w:t xml:space="preserve">[HUMAN REVIEW] </w:t>
      </w:r>
      <w:r>
        <w:rPr>
          <w:rFonts w:ascii="Sarabun" w:hAnsi="Sarabun" w:eastAsia="Sarabun" w:cs="Sarabun"/>
          <w:color w:val="17212B"/>
          <w:cs/>
        </w:rPr>
        <w:t>สัดส่วน 10–15% เป็นข้อเสนอเชิงทดลอง ไม่ใช่ผลจาก causal model ต้องให้ Marketing และ Finance อนุมัติวงเงิน guardrail ก่อนดำเนินการ</w:t>
      </w:r>
    </w:p>
    <w:p>
      <w:pPr>
        <w:pStyle w:val="Heading1"/>
        <w:pageBreakBefore w:val="0"/>
        <w:widowControl/>
      </w:pPr>
      <w:r>
        <w:t>7. Data Quality, Missing Data และข้อจำกัด</w:t>
      </w:r>
    </w:p>
    <w:tbl>
      <w:tblPr>
        <w:tblW w:type="dxa" w:w="9360"/>
        <w:tblLayout w:type="fixed"/>
        <w:tblLook w:firstColumn="1" w:firstRow="1" w:lastColumn="0" w:lastRow="0" w:noHBand="0" w:noVBand="1" w:val="04A0"/>
        <w:tblInd w:w="120" w:type="dxa"/>
        <w:tblBorders>
          <w:top w:val="single" w:sz="4" w:color="D7DEE5"/>
          <w:left w:val="single" w:sz="4" w:color="D7DEE5"/>
          <w:bottom w:val="single" w:sz="4" w:color="D7DEE5"/>
          <w:right w:val="single" w:sz="4" w:color="D7DEE5"/>
          <w:insideH w:val="single" w:sz="4" w:color="D7DEE5"/>
          <w:insideV w:val="single" w:sz="4" w:color="D7DEE5"/>
        </w:tblBorders>
      </w:tblPr>
      <w:tblGrid>
        <w:gridCol w:w="1800"/>
        <w:gridCol w:w="1200"/>
        <w:gridCol w:w="3160"/>
        <w:gridCol w:w="3200"/>
      </w:tblGrid>
      <w:tr>
        <w:trPr>
          <w:tblHeader w:val="true"/>
        </w:trPr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7"/>
                <w:cs/>
              </w:rPr>
              <w:t>Dataset</w:t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7"/>
                <w:cs/>
              </w:rPr>
              <w:t>Raw rows</w:t>
            </w:r>
          </w:p>
        </w:tc>
        <w:tc>
          <w:tcPr>
            <w:tcW w:type="dxa" w:w="31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7"/>
                <w:cs/>
              </w:rPr>
              <w:t>Key issues</w:t>
            </w:r>
          </w:p>
        </w:tc>
        <w:tc>
          <w:tcPr>
            <w:tcW w:type="dxa" w:w="3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7"/>
                <w:cs/>
              </w:rPr>
              <w:t>Treatment</w:t>
            </w:r>
          </w:p>
        </w:tc>
      </w:tr>
      <w:tr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Sales</w:t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119</w:t>
            </w:r>
          </w:p>
        </w:tc>
        <w:tc>
          <w:tcPr>
            <w:tcW w:type="dxa" w:w="31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1 exact duplicate; 1 invalid date; 2 revenue mismatches; 2 missing fields</w:t>
            </w:r>
          </w:p>
        </w:tc>
        <w:tc>
          <w:tcPr>
            <w:tcW w:type="dxa" w:w="3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ลบ duplicate; ปรับ date เฉพาะ trend; ใช้ formula revenue พร้อม human-review flag</w:t>
            </w:r>
          </w:p>
        </w:tc>
      </w:tr>
      <w:tr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Marketing</w:t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35</w:t>
            </w:r>
          </w:p>
        </w:tc>
        <w:tc>
          <w:tcPr>
            <w:tcW w:type="dxa" w:w="31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June TikTok row missing; 1 text-number; 1 CAC mismatch; 1 manual revenue note</w:t>
            </w:r>
          </w:p>
        </w:tc>
        <w:tc>
          <w:tcPr>
            <w:tcW w:type="dxa" w:w="3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ไม่ impute; คำนวณ KPI จาก base fields; mark provisional</w:t>
            </w:r>
          </w:p>
        </w:tc>
      </w:tr>
      <w:tr>
        <w:tc>
          <w:tcPr>
            <w:tcW w:type="dxa" w:w="18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Customer Feedback</w:t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60</w:t>
            </w:r>
          </w:p>
        </w:tc>
        <w:tc>
          <w:tcPr>
            <w:tcW w:type="dxa" w:w="31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1 invalid rating; duplicate ID 2 rows; sentiment mismatch; 96h outlier; 2 missing fields</w:t>
            </w:r>
          </w:p>
        </w:tc>
        <w:tc>
          <w:tcPr>
            <w:tcW w:type="dxa" w:w="3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7"/>
                <w:cs/>
              </w:rPr>
              <w:t>ตัด rating 6 จาก rating KPI; คง outlier; flag duplicate/conflict</w:t>
            </w:r>
          </w:p>
        </w:tc>
      </w:tr>
    </w:tbl>
    <w:p>
      <w:pPr>
        <w:widowControl/>
        <w:spacing w:after="40"/>
      </w:pPr>
    </w:p>
    <w:p>
      <w:pPr>
        <w:pStyle w:val="Heading1"/>
        <w:widowControl/>
      </w:pPr>
      <w:r>
        <w:t>8. ข้อมูลสำคัญที่ขาดและผลกระทบ</w:t>
      </w:r>
    </w:p>
    <w:tbl>
      <w:tblPr>
        <w:tblW w:type="dxa" w:w="9360"/>
        <w:tblLayout w:type="fixed"/>
        <w:tblLook w:firstColumn="1" w:firstRow="1" w:lastColumn="0" w:lastRow="0" w:noHBand="0" w:noVBand="1" w:val="04A0"/>
        <w:tblInd w:w="120" w:type="dxa"/>
        <w:tblBorders>
          <w:top w:val="single" w:sz="4" w:color="D7DEE5"/>
          <w:left w:val="single" w:sz="4" w:color="D7DEE5"/>
          <w:bottom w:val="single" w:sz="4" w:color="D7DEE5"/>
          <w:right w:val="single" w:sz="4" w:color="D7DEE5"/>
          <w:insideH w:val="single" w:sz="4" w:color="D7DEE5"/>
          <w:insideV w:val="single" w:sz="4" w:color="D7DEE5"/>
        </w:tblBorders>
      </w:tblPr>
      <w:tblGrid>
        <w:gridCol w:w="3200"/>
        <w:gridCol w:w="4300"/>
        <w:gridCol w:w="1860"/>
      </w:tblGrid>
      <w:tr>
        <w:trPr>
          <w:tblHeader w:val="true"/>
        </w:trPr>
        <w:tc>
          <w:tcPr>
            <w:tcW w:type="dxa" w:w="3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6"/>
                <w:cs/>
              </w:rPr>
              <w:t>Missing data</w:t>
            </w:r>
          </w:p>
        </w:tc>
        <w:tc>
          <w:tcPr>
            <w:tcW w:type="dxa" w:w="4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6"/>
                <w:cs/>
              </w:rPr>
              <w:t>Impact</w:t>
            </w:r>
          </w:p>
        </w:tc>
        <w:tc>
          <w:tcPr>
            <w:tcW w:type="dxa" w:w="18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6"/>
                <w:cs/>
              </w:rPr>
              <w:t>Required owner sign-off</w:t>
            </w:r>
          </w:p>
        </w:tc>
      </w:tr>
      <w:tr>
        <w:tc>
          <w:tcPr>
            <w:tcW w:type="dxa" w:w="3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Marketing June 2026 – TikTok Ads campaign row</w:t>
            </w:r>
          </w:p>
        </w:tc>
        <w:tc>
          <w:tcPr>
            <w:tcW w:type="dxa" w:w="4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H1 spend, revenue, funnel and June trend are incomplete; all H1 marketing KPI statuses are provisional.</w:t>
            </w:r>
          </w:p>
        </w:tc>
        <w:tc>
          <w:tcPr>
            <w:tcW w:type="dxa" w:w="18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Marketing</w:t>
            </w:r>
          </w:p>
        </w:tc>
      </w:tr>
      <w:tr>
        <w:tc>
          <w:tcPr>
            <w:tcW w:type="dxa" w:w="3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Sales budget, prior-year sales and gross margin/cost data</w:t>
            </w:r>
          </w:p>
        </w:tc>
        <w:tc>
          <w:tcPr>
            <w:tcW w:type="dxa" w:w="4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Cannot assess budget variance, YoY growth, profit, contribution margin, or true marketing ROI.</w:t>
            </w:r>
          </w:p>
        </w:tc>
        <w:tc>
          <w:tcPr>
            <w:tcW w:type="dxa" w:w="18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Finance / Sales</w:t>
            </w:r>
          </w:p>
        </w:tc>
      </w:tr>
      <w:tr>
        <w:tc>
          <w:tcPr>
            <w:tcW w:type="dxa" w:w="3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A reliable attribution key linking marketing campaigns to sales orders</w:t>
            </w:r>
          </w:p>
        </w:tc>
        <w:tc>
          <w:tcPr>
            <w:tcW w:type="dxa" w:w="4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Marketing-reported revenue cannot be reconciled to sales revenue; ROAS is source-reported attribution only.</w:t>
            </w:r>
          </w:p>
        </w:tc>
        <w:tc>
          <w:tcPr>
            <w:tcW w:type="dxa" w:w="18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Marketing + Data</w:t>
            </w:r>
          </w:p>
        </w:tc>
      </w:tr>
      <w:tr>
        <w:tc>
          <w:tcPr>
            <w:tcW w:type="dxa" w:w="3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Customer sample denominator / total customers contacted</w:t>
            </w:r>
          </w:p>
        </w:tc>
        <w:tc>
          <w:tcPr>
            <w:tcW w:type="dxa" w:w="4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Feedback results describe received feedback only and cannot be interpreted as population satisfaction or response rate.</w:t>
            </w:r>
          </w:p>
        </w:tc>
        <w:tc>
          <w:tcPr>
            <w:tcW w:type="dxa" w:w="18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CX / Research</w:t>
            </w:r>
          </w:p>
        </w:tc>
      </w:tr>
      <w:tr>
        <w:tc>
          <w:tcPr>
            <w:tcW w:type="dxa" w:w="3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Definitive resolution for duplicate/conflicting IDs and invalid source records</w:t>
            </w:r>
          </w:p>
        </w:tc>
        <w:tc>
          <w:tcPr>
            <w:tcW w:type="dxa" w:w="4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Some KPI figures remain estimated/provisional until owners validate source records.</w:t>
            </w:r>
          </w:p>
        </w:tc>
        <w:tc>
          <w:tcPr>
            <w:tcW w:type="dxa" w:w="18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Data owners</w:t>
            </w:r>
          </w:p>
        </w:tc>
      </w:tr>
    </w:tbl>
    <w:p>
      <w:pPr>
        <w:widowControl/>
        <w:spacing w:after="40"/>
      </w:pPr>
    </w:p>
    <w:p>
      <w:pPr>
        <w:pStyle w:val="Heading1"/>
        <w:widowControl/>
      </w:pPr>
      <w:r>
        <w:t>9. วิธีอ่านข้อสรุป</w:t>
      </w:r>
    </w:p>
    <w:tbl>
      <w:tblPr>
        <w:tblW w:type="dxa" w:w="9360"/>
        <w:tblLayout w:type="fixed"/>
        <w:tblLook w:firstColumn="1" w:firstRow="1" w:lastColumn="0" w:lastRow="0" w:noHBand="0" w:noVBand="1" w:val="04A0"/>
        <w:tblInd w:w="120" w:type="dxa"/>
        <w:tblBorders>
          <w:top w:val="single" w:sz="2" w:color="EAF2F8"/>
          <w:left w:val="single" w:sz="2" w:color="EAF2F8"/>
          <w:bottom w:val="single" w:sz="2" w:color="EAF2F8"/>
          <w:right w:val="single" w:sz="2" w:color="EAF2F8"/>
          <w:insideH w:val="single" w:sz="2" w:color="EAF2F8"/>
          <w:insideV w:val="single" w:sz="2" w:color="EAF2F8"/>
        </w:tblBorders>
      </w:tblPr>
      <w:tblGrid>
        <w:gridCol w:w="9360"/>
      </w:tblGrid>
      <w:tr>
        <w:tc>
          <w:tcPr>
            <w:tcW w:type="dxa" w:w="93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8"/>
          </w:tcPr>
          <w:p>
            <w:pPr>
              <w:spacing w:before="80" w:after="120" w:line="264" w:lineRule="auto"/>
            </w:pPr>
            <w:r>
              <w:rPr>
                <w:rFonts w:ascii="Sarabun" w:hAnsi="Sarabun" w:eastAsia="Sarabun" w:cs="Sarabun"/>
                <w:b/>
                <w:bCs/>
                <w:color w:val="17324D"/>
                <w:cs/>
              </w:rPr>
              <w:t xml:space="preserve">Legend </w:t>
            </w:r>
            <w:r>
              <w:rPr>
                <w:rFonts w:ascii="Sarabun" w:hAnsi="Sarabun" w:eastAsia="Sarabun" w:cs="Sarabun"/>
                <w:color w:val="17212B"/>
                <w:cs/>
              </w:rPr>
              <w:t>[DATA] = คำนวณจากข้อมูลสะอาด; [INFERENCE] = สมมติฐานเพื่อทดสอบ; [HUMAN REVIEW] = ต้องยืนยันก่อนใช้จริง</w:t>
            </w:r>
          </w:p>
        </w:tc>
      </w:tr>
    </w:tbl>
    <w:p>
      <w:pPr>
        <w:pStyle w:val="Heading1"/>
        <w:pageBreakBefore w:val="0"/>
        <w:widowControl/>
      </w:pPr>
      <w:r>
        <w:t>10. Appendix: Complete KPI Scorecard</w:t>
      </w:r>
    </w:p>
    <w:tbl>
      <w:tblPr>
        <w:tblW w:type="dxa" w:w="9360"/>
        <w:tblLayout w:type="fixed"/>
        <w:tblLook w:firstColumn="1" w:firstRow="1" w:lastColumn="0" w:lastRow="0" w:noHBand="0" w:noVBand="1" w:val="04A0"/>
        <w:tblInd w:w="120" w:type="dxa"/>
        <w:tblBorders>
          <w:top w:val="single" w:sz="4" w:color="D7DEE5"/>
          <w:left w:val="single" w:sz="4" w:color="D7DEE5"/>
          <w:bottom w:val="single" w:sz="4" w:color="D7DEE5"/>
          <w:right w:val="single" w:sz="4" w:color="D7DEE5"/>
          <w:insideH w:val="single" w:sz="4" w:color="D7DEE5"/>
          <w:insideV w:val="single" w:sz="4" w:color="D7DEE5"/>
        </w:tblBorders>
      </w:tblPr>
      <w:tblGrid>
        <w:gridCol w:w="1300"/>
        <w:gridCol w:w="1500"/>
        <w:gridCol w:w="1500"/>
        <w:gridCol w:w="1200"/>
        <w:gridCol w:w="3860"/>
      </w:tblGrid>
      <w:tr>
        <w:trPr>
          <w:tblHeader w:val="true"/>
        </w:trPr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6"/>
                <w:cs/>
              </w:rPr>
              <w:t>KPI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6"/>
                <w:cs/>
              </w:rPr>
              <w:t>Actual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6"/>
                <w:cs/>
              </w:rPr>
              <w:t>Target</w:t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6"/>
                <w:cs/>
              </w:rPr>
              <w:t>Status</w:t>
            </w:r>
          </w:p>
        </w:tc>
        <w:tc>
          <w:tcPr>
            <w:tcW w:type="dxa" w:w="38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6"/>
                <w:cs/>
              </w:rPr>
              <w:t>Confidence</w:t>
            </w:r>
          </w:p>
        </w:tc>
      </w:tr>
      <w:tr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FIN-01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48,342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≥ 50,000</w:t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ไม่ผ่าน</w:t>
            </w:r>
          </w:p>
        </w:tc>
        <w:tc>
          <w:tcPr>
            <w:tcW w:type="dxa" w:w="38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Estimated / Human review</w:t>
            </w:r>
          </w:p>
        </w:tc>
      </w:tr>
      <w:tr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MKT-01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1.00x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≥ 1.05x</w:t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ไม่ผ่าน</w:t>
            </w:r>
          </w:p>
        </w:tc>
        <w:tc>
          <w:tcPr>
            <w:tcW w:type="dxa" w:w="38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Provisional / June row missing</w:t>
            </w:r>
          </w:p>
        </w:tc>
      </w:tr>
      <w:tr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MKT-02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648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≤ 650</w:t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ผ่าน</w:t>
            </w:r>
          </w:p>
        </w:tc>
        <w:tc>
          <w:tcPr>
            <w:tcW w:type="dxa" w:w="38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Provisional / June row missing</w:t>
            </w:r>
          </w:p>
        </w:tc>
      </w:tr>
      <w:tr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CUS-01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2.95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≥ 4</w:t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ไม่ผ่าน</w:t>
            </w:r>
          </w:p>
        </w:tc>
        <w:tc>
          <w:tcPr>
            <w:tcW w:type="dxa" w:w="38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Calculated / invalid rating excluded</w:t>
            </w:r>
          </w:p>
        </w:tc>
      </w:tr>
      <w:tr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CUS-02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42.4%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≤ 25.0%</w:t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ไม่ผ่าน</w:t>
            </w:r>
          </w:p>
        </w:tc>
        <w:tc>
          <w:tcPr>
            <w:tcW w:type="dxa" w:w="38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Calculated / invalid rating excluded</w:t>
            </w:r>
          </w:p>
        </w:tc>
      </w:tr>
      <w:tr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CUS-03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18.4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≤ 16</w:t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ไม่ผ่าน</w:t>
            </w:r>
          </w:p>
        </w:tc>
        <w:tc>
          <w:tcPr>
            <w:tcW w:type="dxa" w:w="38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Calculated / outlier retained</w:t>
            </w:r>
          </w:p>
        </w:tc>
      </w:tr>
      <w:tr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FIN-02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-7.0%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≥ 5.0%</w:t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ไม่ผ่าน</w:t>
            </w:r>
          </w:p>
        </w:tc>
        <w:tc>
          <w:tcPr>
            <w:tcW w:type="dxa" w:w="38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Estimated / invalid date corrected</w:t>
            </w:r>
          </w:p>
        </w:tc>
      </w:tr>
      <w:tr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FIN-03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525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≥ 550</w:t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ไม่ผ่าน</w:t>
            </w:r>
          </w:p>
        </w:tc>
        <w:tc>
          <w:tcPr>
            <w:tcW w:type="dxa" w:w="38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Estimated / Human review</w:t>
            </w:r>
          </w:p>
        </w:tc>
      </w:tr>
      <w:tr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MKT-03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6.6%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≥ 6.5%</w:t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ผ่าน</w:t>
            </w:r>
          </w:p>
        </w:tc>
        <w:tc>
          <w:tcPr>
            <w:tcW w:type="dxa" w:w="38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Provisional / June row missing</w:t>
            </w:r>
          </w:p>
        </w:tc>
      </w:tr>
      <w:tr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OPS-01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80.0%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≥ 85.0%</w:t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ไม่ผ่าน</w:t>
            </w:r>
          </w:p>
        </w:tc>
        <w:tc>
          <w:tcPr>
            <w:tcW w:type="dxa" w:w="38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Provisional / duplicate case ID</w:t>
            </w:r>
          </w:p>
        </w:tc>
      </w:tr>
      <w:tr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OPS-02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11.0%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≤ 10.0%</w:t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ไม่ผ่าน</w:t>
            </w:r>
          </w:p>
        </w:tc>
        <w:tc>
          <w:tcPr>
            <w:tcW w:type="dxa" w:w="38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Calculated / exact duplicate removed</w:t>
            </w:r>
          </w:p>
        </w:tc>
      </w:tr>
      <w:tr>
        <w:tc>
          <w:tcPr>
            <w:tcW w:type="dxa" w:w="1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OPS-03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78.0%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≥ 80.0%</w:t>
            </w:r>
          </w:p>
        </w:tc>
        <w:tc>
          <w:tcPr>
            <w:tcW w:type="dxa" w:w="12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ไม่ผ่าน</w:t>
            </w:r>
          </w:p>
        </w:tc>
        <w:tc>
          <w:tcPr>
            <w:tcW w:type="dxa" w:w="38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Calculated / exact duplicate removed</w:t>
            </w:r>
          </w:p>
        </w:tc>
      </w:tr>
    </w:tbl>
    <w:p>
      <w:pPr>
        <w:widowControl/>
        <w:spacing w:after="40"/>
      </w:pPr>
    </w:p>
    <w:p>
      <w:pPr>
        <w:pStyle w:val="Heading1"/>
        <w:widowControl/>
      </w:pPr>
      <w:r>
        <w:t>11. Sources &amp; Reconciliation</w:t>
      </w:r>
    </w:p>
    <w:tbl>
      <w:tblPr>
        <w:tblW w:type="dxa" w:w="9360"/>
        <w:tblLayout w:type="fixed"/>
        <w:tblLook w:firstColumn="1" w:firstRow="1" w:lastColumn="0" w:lastRow="0" w:noHBand="0" w:noVBand="1" w:val="04A0"/>
        <w:tblInd w:w="120" w:type="dxa"/>
        <w:tblBorders>
          <w:top w:val="single" w:sz="4" w:color="D7DEE5"/>
          <w:left w:val="single" w:sz="4" w:color="D7DEE5"/>
          <w:bottom w:val="single" w:sz="4" w:color="D7DEE5"/>
          <w:right w:val="single" w:sz="4" w:color="D7DEE5"/>
          <w:insideH w:val="single" w:sz="4" w:color="D7DEE5"/>
          <w:insideV w:val="single" w:sz="4" w:color="D7DEE5"/>
        </w:tblBorders>
      </w:tblPr>
      <w:tblGrid>
        <w:gridCol w:w="2600"/>
        <w:gridCol w:w="6760"/>
      </w:tblGrid>
      <w:tr>
        <w:trPr>
          <w:tblHeader w:val="true"/>
        </w:trPr>
        <w:tc>
          <w:tcPr>
            <w:tcW w:type="dxa" w:w="26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6"/>
                <w:cs/>
              </w:rPr>
              <w:t>Source</w:t>
            </w:r>
          </w:p>
        </w:tc>
        <w:tc>
          <w:tcPr>
            <w:tcW w:type="dxa" w:w="67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17324D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/>
                <w:bCs/>
                <w:color w:val="FFFFFF"/>
                <w:sz w:val="16"/>
                <w:cs/>
              </w:rPr>
              <w:t>Reference</w:t>
            </w:r>
          </w:p>
        </w:tc>
      </w:tr>
      <w:tr>
        <w:tc>
          <w:tcPr>
            <w:tcW w:type="dxa" w:w="26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Sales Data</w:t>
            </w:r>
          </w:p>
        </w:tc>
        <w:tc>
          <w:tcPr>
            <w:tcW w:type="dxa" w:w="67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https://docs.google.com/spreadsheets/d/1M9ckzMB0O2V1LUySSkJ8GqMXxhoqXxFUdNr4ZGTPdW0</w:t>
            </w:r>
          </w:p>
        </w:tc>
      </w:tr>
      <w:tr>
        <w:tc>
          <w:tcPr>
            <w:tcW w:type="dxa" w:w="26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Marketing Performance</w:t>
            </w:r>
          </w:p>
        </w:tc>
        <w:tc>
          <w:tcPr>
            <w:tcW w:type="dxa" w:w="67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https://docs.google.com/spreadsheets/d/1oiVgaZeUKyKlk6YczIfiCjAYzkIxFf4vPnPoU9EZi70</w:t>
            </w:r>
          </w:p>
        </w:tc>
      </w:tr>
      <w:tr>
        <w:tc>
          <w:tcPr>
            <w:tcW w:type="dxa" w:w="26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Customer Feedback</w:t>
            </w:r>
          </w:p>
        </w:tc>
        <w:tc>
          <w:tcPr>
            <w:tcW w:type="dxa" w:w="67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https://docs.google.com/spreadsheets/d/1-fOw6EGgQQmUPRq_RplOEh0wcDmi40HOn5WY6trh_xQ</w:t>
            </w:r>
          </w:p>
        </w:tc>
      </w:tr>
      <w:tr>
        <w:tc>
          <w:tcPr>
            <w:tcW w:type="dxa" w:w="26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KPI Framework</w:t>
            </w:r>
          </w:p>
        </w:tc>
        <w:tc>
          <w:tcPr>
            <w:tcW w:type="dxa" w:w="67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https://docs.google.com/spreadsheets/d/1TiQgl5GnrxLv7mUz_Zcks4V2CKouvRQX3OxwfNm4L2Q</w:t>
            </w:r>
          </w:p>
        </w:tc>
      </w:tr>
      <w:tr>
        <w:tc>
          <w:tcPr>
            <w:tcW w:type="dxa" w:w="26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Cross-file QA</w:t>
            </w:r>
          </w:p>
        </w:tc>
        <w:tc>
          <w:tcPr>
            <w:tcW w:type="dxa" w:w="67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before="0" w:after="60" w:line="252" w:lineRule="auto"/>
            </w:pPr>
            <w:r>
              <w:rPr>
                <w:rFonts w:ascii="Sarabun" w:hAnsi="Sarabun" w:eastAsia="Sarabun" w:cs="Sarabun"/>
                <w:b w:val="0"/>
                <w:bCs w:val="0"/>
                <w:color w:val="17212B"/>
                <w:sz w:val="16"/>
                <w:cs/>
              </w:rPr>
              <w:t>Dashboard / KPI Scorecard / Checks ตรงกัน; รายได้ Marketing ไม่กระทบยอดกับ Sales เพราะไม่มี attribution key</w:t>
            </w:r>
          </w:p>
        </w:tc>
      </w:tr>
    </w:tbl>
    <w:p>
      <w:pPr>
        <w:widowControl/>
        <w:spacing w:after="4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Sarabun" w:hAnsi="Sarabun" w:eastAsia="Sarabun" w:cs="Sarabun"/>
        <w:color w:val="5F6B76"/>
        <w:sz w:val="17"/>
        <w:cs/>
      </w:rPr>
      <w:t xml:space="preserve">Confidential | Prepared 1 Sep 2026 | Page </w:t>
    </w:r>
    <w:fldSimple w:instr="PAGE">
      <w:r>
        <w:t>1</w:t>
      </w:r>
    </w:fldSimple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>
      <w:rPr>
        <w:rFonts w:ascii="Sarabun" w:hAnsi="Sarabun" w:eastAsia="Sarabun" w:cs="Sarabun"/>
        <w:b/>
        <w:bCs/>
        <w:color w:val="5F6B76"/>
        <w:sz w:val="17"/>
        <w:cs/>
      </w:rPr>
      <w:t>Morning Bake | Half Year Business Review 2026 H1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Sarabun" w:hAnsi="Sarabun" w:eastAsia="Sarabun" w:cs="Sarabun"/>
      <w:color w:val="17212B"/>
      <w:sz w:val="22"/>
      <w:cs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 w:ascii="Sarabun" w:hAnsi="Sarabun" w:eastAsia="Sarabun" w:cs="Sarabun"/>
      <w:b/>
      <w:bCs/>
      <w:color w:val="2F6B8A"/>
      <w:sz w:val="32"/>
      <w:szCs w:val="28"/>
      <w: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Sarabun" w:hAnsi="Sarabun" w:eastAsia="Sarabun" w:cs="Sarabun"/>
      <w:b/>
      <w:bCs/>
      <w:color w:val="2F6B8A"/>
      <w:sz w:val="26"/>
      <w:szCs w:val="26"/>
      <w:cs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Sarabun" w:hAnsi="Sarabun" w:eastAsia="Sarabun" w:cs="Sarabun"/>
      <w:b/>
      <w:bCs/>
      <w:color w:val="17324D"/>
      <w:sz w:val="24"/>
      <w: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